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5 -->
  <w:body>
    <w:p>
      <w:pPr>
        <w:pStyle w:val="Heading1"/>
        <w:widowControl/>
        <w:spacing w:before="0"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Ökosystemdienstleistung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Asche, N. and Stromberg, H. (2021) ‘Leistungen honorieren - statt nur zu fordern’, </w:t>
      </w:r>
      <w:r>
        <w:rPr>
          <w:rFonts w:eastAsia="Segoe UI" w:hint="default"/>
          <w:i/>
          <w:szCs w:val="24"/>
          <w:rtl w:val="0"/>
          <w:lang w:val="de-DE"/>
        </w:rPr>
        <w:t xml:space="preserve">proWald </w:t>
      </w:r>
      <w:r>
        <w:rPr>
          <w:rFonts w:eastAsia="Segoe UI" w:hint="default"/>
          <w:szCs w:val="24"/>
          <w:rtl w:val="0"/>
          <w:lang w:val="de-DE"/>
        </w:rPr>
        <w:t>(Mai 2021), pp. 5–9.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Balmford, A.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(2002) ‘Economic reasons for conserving wild nature’, </w:t>
      </w:r>
      <w:r>
        <w:rPr>
          <w:rFonts w:eastAsia="Segoe UI" w:hint="default"/>
          <w:i/>
          <w:szCs w:val="24"/>
          <w:rtl w:val="0"/>
          <w:lang w:val="de-DE"/>
        </w:rPr>
        <w:t>Science (New York, N.Y.)</w:t>
      </w:r>
      <w:r>
        <w:rPr>
          <w:rFonts w:eastAsia="Segoe UI" w:hint="default"/>
          <w:szCs w:val="24"/>
          <w:rtl w:val="0"/>
          <w:lang w:val="de-DE"/>
        </w:rPr>
        <w:t>, 297(5583), pp. 950–953. doi: 10.1126/science.1073947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Brown, T.C. and Boyle, K.J. (eds.) (2017) </w:t>
      </w:r>
      <w:r>
        <w:rPr>
          <w:rFonts w:eastAsia="Segoe UI" w:hint="default"/>
          <w:i/>
          <w:szCs w:val="24"/>
          <w:rtl w:val="0"/>
          <w:lang w:val="de-DE"/>
        </w:rPr>
        <w:t>A Primer on Nonmarket Valuation</w:t>
      </w:r>
      <w:r>
        <w:rPr>
          <w:rFonts w:eastAsia="Segoe UI" w:hint="default"/>
          <w:szCs w:val="24"/>
          <w:rtl w:val="0"/>
          <w:lang w:val="de-DE"/>
        </w:rPr>
        <w:t>. 2nd edn. Dordrecht: Springer (Springer eBook Collection Economics and Finance, 13).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Bundesamt für Naturschutz (ed.) (2012) </w:t>
      </w:r>
      <w:r>
        <w:rPr>
          <w:rFonts w:eastAsia="Segoe UI" w:hint="default"/>
          <w:i/>
          <w:szCs w:val="24"/>
          <w:rtl w:val="0"/>
          <w:lang w:val="de-DE"/>
        </w:rPr>
        <w:t>Ökosystemdienstleistungen von Wäldern: Workshopbericht Internationale Naturschutzakademie Insel Vilm 16. - 19. November 2011</w:t>
      </w:r>
      <w:r>
        <w:rPr>
          <w:rFonts w:eastAsia="Segoe UI" w:hint="default"/>
          <w:szCs w:val="24"/>
          <w:rtl w:val="0"/>
          <w:lang w:val="de-DE"/>
        </w:rPr>
        <w:t>. Bonn-Bad Godesberg: Bundesamt für Naturschutz (BfN) (BfN-Skripten, 320).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Costanza, R.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(1997) ‘The value of the world's ecosystem services and natural capital’, </w:t>
      </w:r>
      <w:r>
        <w:rPr>
          <w:rFonts w:eastAsia="Segoe UI" w:hint="default"/>
          <w:i/>
          <w:szCs w:val="24"/>
          <w:rtl w:val="0"/>
          <w:lang w:val="de-DE"/>
        </w:rPr>
        <w:t>Nature</w:t>
      </w:r>
      <w:r>
        <w:rPr>
          <w:rFonts w:eastAsia="Segoe UI" w:hint="default"/>
          <w:szCs w:val="24"/>
          <w:rtl w:val="0"/>
          <w:lang w:val="de-DE"/>
        </w:rPr>
        <w:t>, 387(6630), pp. 253–260. doi: 10.1038/387253a0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Dusch, C. (2019) </w:t>
      </w:r>
      <w:r>
        <w:rPr>
          <w:rFonts w:eastAsia="Segoe UI" w:hint="default"/>
          <w:i/>
          <w:szCs w:val="24"/>
          <w:rtl w:val="0"/>
          <w:lang w:val="de-DE"/>
        </w:rPr>
        <w:t>Monetäre Bewertung von Ökosystemdienstleistungen im Rahmen des EU-Projekts „Links4Soils“: Masterarbeit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Edwards, D.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(2012) ‘Public preferences for structural attributes of forests: Towards a pan-European perspective’, </w:t>
      </w:r>
      <w:r>
        <w:rPr>
          <w:rFonts w:eastAsia="Segoe UI" w:hint="default"/>
          <w:i/>
          <w:szCs w:val="24"/>
          <w:rtl w:val="0"/>
          <w:lang w:val="de-DE"/>
        </w:rPr>
        <w:t>Forest Policy and Economics</w:t>
      </w:r>
      <w:r>
        <w:rPr>
          <w:rFonts w:eastAsia="Segoe UI" w:hint="default"/>
          <w:szCs w:val="24"/>
          <w:rtl w:val="0"/>
          <w:lang w:val="de-DE"/>
        </w:rPr>
        <w:t>, 19, pp. 12–19. doi: 10.1016/j.forpol.2011.07.006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Elsasser, P.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(2020) </w:t>
      </w:r>
      <w:r>
        <w:rPr>
          <w:rFonts w:eastAsia="Segoe UI" w:hint="default"/>
          <w:i/>
          <w:szCs w:val="24"/>
          <w:rtl w:val="0"/>
          <w:lang w:val="de-DE"/>
        </w:rPr>
        <w:t>Regionalisierte Bewertung der Waldleistungen in Deutschland</w:t>
      </w:r>
      <w:r>
        <w:rPr>
          <w:rFonts w:eastAsia="Segoe UI" w:hint="default"/>
          <w:szCs w:val="24"/>
          <w:rtl w:val="0"/>
          <w:lang w:val="de-DE"/>
        </w:rPr>
        <w:t>. Braunschweig (Thünen Report 79).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Elsasser, P., Köthke, M. and Dieter, M. (2020) </w:t>
      </w:r>
      <w:r>
        <w:rPr>
          <w:rFonts w:eastAsia="Segoe UI" w:hint="default"/>
          <w:i/>
          <w:szCs w:val="24"/>
          <w:rtl w:val="0"/>
          <w:lang w:val="de-DE"/>
        </w:rPr>
        <w:t>Ein Konzept zur Honorierung der Ökosystemleistungen der Wälder</w:t>
      </w:r>
      <w:r>
        <w:rPr>
          <w:rFonts w:eastAsia="Segoe UI" w:hint="default"/>
          <w:szCs w:val="24"/>
          <w:rtl w:val="0"/>
          <w:lang w:val="de-DE"/>
        </w:rPr>
        <w:t>. Braunschweig (Thünen Work Paper 152).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Elsasser, P., Meyerhoff, J. and Weller, P. (2016) </w:t>
      </w:r>
      <w:r>
        <w:rPr>
          <w:rFonts w:eastAsia="Segoe UI" w:hint="default"/>
          <w:i/>
          <w:szCs w:val="24"/>
          <w:rtl w:val="0"/>
          <w:lang w:val="de-DE"/>
        </w:rPr>
        <w:t>An updated bibliography and database on forest ecosystem service valuation studies in Austria, Germany and Switzerland</w:t>
      </w:r>
      <w:r>
        <w:rPr>
          <w:rFonts w:eastAsia="Segoe UI" w:hint="default"/>
          <w:szCs w:val="24"/>
          <w:rtl w:val="0"/>
          <w:lang w:val="de-DE"/>
        </w:rPr>
        <w:t>. Hamburg (Thünen Work Paper 65).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Fischer, B., Costanza, R. and Turner, R.K. (2007) </w:t>
      </w:r>
      <w:r>
        <w:rPr>
          <w:rFonts w:eastAsia="Segoe UI" w:hint="default"/>
          <w:i/>
          <w:szCs w:val="24"/>
          <w:rtl w:val="0"/>
          <w:lang w:val="de-DE"/>
        </w:rPr>
        <w:t>Defining and classifying ecosystem services for decision making: CSERGE Working Paper EDM, No. 07-04</w:t>
      </w:r>
      <w:r>
        <w:rPr>
          <w:rFonts w:eastAsia="Segoe UI" w:hint="default"/>
          <w:szCs w:val="24"/>
          <w:rtl w:val="0"/>
          <w:lang w:val="de-DE"/>
        </w:rPr>
        <w:t>. Norwich. Available at: https://www.sciencedirect.com/science/article/pii/s0921800908004424.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Ghazoul, J. (2007) ‘Recognising the Complexities of Ecosystem Management and the Ecosystem Service Concept’, </w:t>
      </w:r>
      <w:r>
        <w:rPr>
          <w:rFonts w:eastAsia="Segoe UI" w:hint="default"/>
          <w:i/>
          <w:szCs w:val="24"/>
          <w:rtl w:val="0"/>
          <w:lang w:val="de-DE"/>
        </w:rPr>
        <w:t>GAIA - Ecological Perspectives for Science and Society</w:t>
      </w:r>
      <w:r>
        <w:rPr>
          <w:rFonts w:eastAsia="Segoe UI" w:hint="default"/>
          <w:szCs w:val="24"/>
          <w:rtl w:val="0"/>
          <w:lang w:val="de-DE"/>
        </w:rPr>
        <w:t>, 16(3), pp. 215–221. doi: 10.14512/gaia.16.3.13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Haines-Young, R. and Potschin, M. (2018) </w:t>
      </w:r>
      <w:r>
        <w:rPr>
          <w:rFonts w:eastAsia="Segoe UI" w:hint="default"/>
          <w:i/>
          <w:szCs w:val="24"/>
          <w:rtl w:val="0"/>
          <w:lang w:val="de-DE"/>
        </w:rPr>
        <w:t>Common International Classification of Ecosystem Services (CICES) V5.1: Guidance on the Application of the Revised Structure</w:t>
      </w:r>
      <w:r>
        <w:rPr>
          <w:rFonts w:eastAsia="Segoe UI" w:hint="default"/>
          <w:szCs w:val="24"/>
          <w:rtl w:val="0"/>
          <w:lang w:val="de-DE"/>
        </w:rPr>
        <w:t>. Nottingham. Available at: cices.eu.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Hartje, V., Wüstemann, H. and Bonn, A. (eds.) (2015) </w:t>
      </w:r>
      <w:r>
        <w:rPr>
          <w:rFonts w:eastAsia="Segoe UI" w:hint="default"/>
          <w:i/>
          <w:szCs w:val="24"/>
          <w:rtl w:val="0"/>
          <w:lang w:val="de-DE"/>
        </w:rPr>
        <w:t>Naturkapital und Klimapolitik: Synergien und Konflikte</w:t>
      </w:r>
      <w:r>
        <w:rPr>
          <w:rFonts w:eastAsia="Segoe UI" w:hint="default"/>
          <w:szCs w:val="24"/>
          <w:rtl w:val="0"/>
          <w:lang w:val="de-DE"/>
        </w:rPr>
        <w:t>. Leipzig: Helmholtz-Zentrum für Umweltforschung - UFZ; Naturkapital Deutschland – TEEB DE.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Ibisch, P. (2018) ‘Unter allen Wipfeln ist keine Ruh’, </w:t>
      </w:r>
      <w:r>
        <w:rPr>
          <w:rFonts w:eastAsia="Segoe UI" w:hint="default"/>
          <w:i/>
          <w:szCs w:val="24"/>
          <w:rtl w:val="0"/>
          <w:lang w:val="de-DE"/>
        </w:rPr>
        <w:t xml:space="preserve">Frankfurter Allgemeine Zeitung, </w:t>
      </w:r>
      <w:r>
        <w:rPr>
          <w:rFonts w:eastAsia="Segoe UI" w:hint="default"/>
          <w:szCs w:val="24"/>
          <w:rtl w:val="0"/>
          <w:lang w:val="de-DE"/>
        </w:rPr>
        <w:t>3 September, p. 9.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Ibisch, P.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(2021) </w:t>
      </w:r>
      <w:r>
        <w:rPr>
          <w:rFonts w:eastAsia="Segoe UI" w:hint="default"/>
          <w:i/>
          <w:szCs w:val="24"/>
          <w:rtl w:val="0"/>
          <w:lang w:val="de-DE"/>
        </w:rPr>
        <w:t>Konzept zur Förderung der Funktionen und Leistungen von Waldökosystemen in Deutschland</w:t>
      </w:r>
      <w:r>
        <w:rPr>
          <w:rFonts w:eastAsia="Segoe UI" w:hint="default"/>
          <w:szCs w:val="24"/>
          <w:rtl w:val="0"/>
          <w:lang w:val="de-DE"/>
        </w:rPr>
        <w:t>. Eberswalde, Berlin.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Justus Eberl (2022) </w:t>
      </w:r>
      <w:r>
        <w:rPr>
          <w:rFonts w:eastAsia="Segoe UI" w:hint="default"/>
          <w:i/>
          <w:szCs w:val="24"/>
          <w:rtl w:val="0"/>
          <w:lang w:val="de-DE"/>
        </w:rPr>
        <w:t xml:space="preserve">Honorierung der Klima- &amp; Gemeinwohlleistungen des Waldes, AGDW Wald-Symposium. </w:t>
      </w:r>
      <w:r>
        <w:rPr>
          <w:rFonts w:eastAsia="Segoe UI" w:hint="default"/>
          <w:szCs w:val="24"/>
          <w:rtl w:val="0"/>
          <w:lang w:val="de-DE"/>
        </w:rPr>
        <w:t>21 March.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Kremen, C.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(2007) ‘Pollination and other ecosystem services produced by mobile organisms: a conceptual framework for the effects of land-use change’, </w:t>
      </w:r>
      <w:r>
        <w:rPr>
          <w:rFonts w:eastAsia="Segoe UI" w:hint="default"/>
          <w:i/>
          <w:szCs w:val="24"/>
          <w:rtl w:val="0"/>
          <w:lang w:val="de-DE"/>
        </w:rPr>
        <w:t>Ecology Letters</w:t>
      </w:r>
      <w:r>
        <w:rPr>
          <w:rFonts w:eastAsia="Segoe UI" w:hint="default"/>
          <w:szCs w:val="24"/>
          <w:rtl w:val="0"/>
          <w:lang w:val="de-DE"/>
        </w:rPr>
        <w:t>, 10(4), pp. 299–314. doi: 10.1111/j.1461-0248.2007.01018.x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Maes, J.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(2016) ‘An indicator framework for assessing ecosystem services in support of the EU Biodiversity Strategy to 2020’, </w:t>
      </w:r>
      <w:r>
        <w:rPr>
          <w:rFonts w:eastAsia="Segoe UI" w:hint="default"/>
          <w:i/>
          <w:szCs w:val="24"/>
          <w:rtl w:val="0"/>
          <w:lang w:val="de-DE"/>
        </w:rPr>
        <w:t>Ecosystem Services</w:t>
      </w:r>
      <w:r>
        <w:rPr>
          <w:rFonts w:eastAsia="Segoe UI" w:hint="default"/>
          <w:szCs w:val="24"/>
          <w:rtl w:val="0"/>
          <w:lang w:val="de-DE"/>
        </w:rPr>
        <w:t>, 17, pp. 14–23. doi: 10.1016/j.ecoser.2015.10.023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Ojea, E., Martin-Ortega, J. and Chiabai, A. (2012) ‘Defining and classifying ecosystem services for economic valuation: the case of forest water services’, </w:t>
      </w:r>
      <w:r>
        <w:rPr>
          <w:rFonts w:eastAsia="Segoe UI" w:hint="default"/>
          <w:i/>
          <w:szCs w:val="24"/>
          <w:rtl w:val="0"/>
          <w:lang w:val="de-DE"/>
        </w:rPr>
        <w:t>Environmental Science &amp; Policy</w:t>
      </w:r>
      <w:r>
        <w:rPr>
          <w:rFonts w:eastAsia="Segoe UI" w:hint="default"/>
          <w:szCs w:val="24"/>
          <w:rtl w:val="0"/>
          <w:lang w:val="de-DE"/>
        </w:rPr>
        <w:t>, 19-20, pp. 1–15. doi: 10.1016/j.envsci.2012.02.002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Potschin-Young, M.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(2018) ‘Understanding the role of conceptual frameworks: Reading the ecosystem service cascade’, </w:t>
      </w:r>
      <w:r>
        <w:rPr>
          <w:rFonts w:eastAsia="Segoe UI" w:hint="default"/>
          <w:i/>
          <w:szCs w:val="24"/>
          <w:rtl w:val="0"/>
          <w:lang w:val="de-DE"/>
        </w:rPr>
        <w:t>Ecosystem Services</w:t>
      </w:r>
      <w:r>
        <w:rPr>
          <w:rFonts w:eastAsia="Segoe UI" w:hint="default"/>
          <w:szCs w:val="24"/>
          <w:rtl w:val="0"/>
          <w:lang w:val="de-DE"/>
        </w:rPr>
        <w:t>, 29(Pt C), pp. 428–440. doi: 10.1016/j.ecoser.2017.05.015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i/>
          <w:szCs w:val="24"/>
          <w:rtl w:val="0"/>
          <w:lang w:val="de-DE"/>
        </w:rPr>
        <w:t>Ecosystems and human well-being: A report of the Conceptual Framework Working Group of the Millennium Ecosystem Assessment</w:t>
      </w:r>
      <w:r>
        <w:rPr>
          <w:rFonts w:eastAsia="Segoe UI" w:hint="default"/>
          <w:szCs w:val="24"/>
          <w:rtl w:val="0"/>
          <w:lang w:val="de-DE"/>
        </w:rPr>
        <w:t xml:space="preserve"> (2003). Washington/D.C: Island Press. Available at: http://pdf.wri.org/ecosystems_human_wellbeing.pdf.</w:t>
      </w:r>
    </w:p>
    <w:p>
      <w:pPr>
        <w:pStyle w:val="Heading2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Wasser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Qualitätsgemeinschaft Bio-Mineralwasser e.V. (2022) </w:t>
      </w:r>
      <w:r>
        <w:rPr>
          <w:rFonts w:eastAsia="Segoe UI" w:hint="default"/>
          <w:i/>
          <w:szCs w:val="24"/>
          <w:rtl w:val="0"/>
          <w:lang w:val="de-DE"/>
        </w:rPr>
        <w:t>Übersichtskarte: Der Zustand von Grund- und Leitungswasser</w:t>
      </w:r>
      <w:r>
        <w:rPr>
          <w:rFonts w:eastAsia="Segoe UI" w:hint="default"/>
          <w:szCs w:val="24"/>
          <w:rtl w:val="0"/>
          <w:lang w:val="de-DE"/>
        </w:rPr>
        <w:t>: Qualitätsgemeinschaft Bio-Mineralwasser e.V.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Augustin, S. and Achermann, B. (2012) ‘Deposition von Luftschadstoffen in der Schweiz: Entwicklung, aktueller Stand und Bewertung’, </w:t>
      </w:r>
      <w:r>
        <w:rPr>
          <w:rFonts w:eastAsia="Segoe UI" w:hint="default"/>
          <w:i/>
          <w:szCs w:val="24"/>
          <w:rtl w:val="0"/>
          <w:lang w:val="de-DE"/>
        </w:rPr>
        <w:t>Schweizerische Zeitschrift fur Forstwesen</w:t>
      </w:r>
      <w:r>
        <w:rPr>
          <w:rFonts w:eastAsia="Segoe UI" w:hint="default"/>
          <w:szCs w:val="24"/>
          <w:rtl w:val="0"/>
          <w:lang w:val="de-DE"/>
        </w:rPr>
        <w:t>, 163(9), pp. 323–330. doi: 10.3188/szf.2012.0323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Bühler, K. (no date) ‘Vereinbarung über den Ausgleich wirtschaftlicher Nachteile aufgrund erhöhter ökologischer Anforderungen im Trinkwasserschutzgebiet Kaufering - St.Leonhard: Energiewald’.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Bühler, K. (2016) ‘Vereinbarung über den Ausgleich wirtschaftlicher Nachteile aufgrund erhöhter forstfachlicher Anforderungen im Trinkwasserschutzgebiet Kaufering - St.Leonhard: Wald’.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Gopal, B. and Singh, S.P. (2020) ‘Assessment of ecosystem services should be based on ecosystem functions and processes: Comments on Das et al. 2019’, </w:t>
      </w:r>
      <w:r>
        <w:rPr>
          <w:rFonts w:eastAsia="Segoe UI" w:hint="default"/>
          <w:i/>
          <w:szCs w:val="24"/>
          <w:rtl w:val="0"/>
          <w:lang w:val="de-DE"/>
        </w:rPr>
        <w:t>Forest Policy and Economics</w:t>
      </w:r>
      <w:r>
        <w:rPr>
          <w:rFonts w:eastAsia="Segoe UI" w:hint="default"/>
          <w:szCs w:val="24"/>
          <w:rtl w:val="0"/>
          <w:lang w:val="de-DE"/>
        </w:rPr>
        <w:t>, 111, p. 102029. doi: 10.1016/j.forpol.2019.102029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Huber, C., Weis, W. and Göttlein, A. (2008) ‘Sickerwasserqualität bei Stickstoffsättigung’, </w:t>
      </w:r>
      <w:r>
        <w:rPr>
          <w:rFonts w:eastAsia="Segoe UI" w:hint="default"/>
          <w:i/>
          <w:szCs w:val="24"/>
          <w:rtl w:val="0"/>
          <w:lang w:val="de-DE"/>
        </w:rPr>
        <w:t xml:space="preserve">LWF aktuell </w:t>
      </w:r>
      <w:r>
        <w:rPr>
          <w:rFonts w:eastAsia="Segoe UI" w:hint="default"/>
          <w:szCs w:val="24"/>
          <w:rtl w:val="0"/>
          <w:lang w:val="de-DE"/>
        </w:rPr>
        <w:t>(66), pp. 13–15.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Manfred Mödinger (2022) </w:t>
      </w:r>
      <w:r>
        <w:rPr>
          <w:rFonts w:eastAsia="Segoe UI" w:hint="default"/>
          <w:i/>
          <w:szCs w:val="24"/>
          <w:rtl w:val="0"/>
          <w:lang w:val="de-DE"/>
        </w:rPr>
        <w:t>Der Zustand von Grund- und Trinkwasser: Übersichtsstudie der Qualitätsgemeinschaft Bio-Mineralwasser e.V.</w:t>
      </w:r>
      <w:r>
        <w:rPr>
          <w:rFonts w:eastAsia="Segoe UI" w:hint="default"/>
          <w:szCs w:val="24"/>
          <w:rtl w:val="0"/>
          <w:lang w:val="de-DE"/>
        </w:rPr>
        <w:t xml:space="preserve"> (Schwarzbuch Wasser 4).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Mödinger, M. (2017) </w:t>
      </w:r>
      <w:r>
        <w:rPr>
          <w:rFonts w:eastAsia="Segoe UI" w:hint="default"/>
          <w:i/>
          <w:szCs w:val="24"/>
          <w:rtl w:val="0"/>
          <w:lang w:val="de-DE"/>
        </w:rPr>
        <w:t>Der Zustand von Grund- und Trinkwasser: Übersichtsstudie der Qualitätsgemeinschaft Bio-Mineralwasser e.V.</w:t>
      </w:r>
      <w:r>
        <w:rPr>
          <w:rFonts w:eastAsia="Segoe UI" w:hint="default"/>
          <w:szCs w:val="24"/>
          <w:rtl w:val="0"/>
          <w:lang w:val="de-DE"/>
        </w:rPr>
        <w:t xml:space="preserve"> (Schwarzbuch Wasser 1).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Mödinger, M. (2018) </w:t>
      </w:r>
      <w:r>
        <w:rPr>
          <w:rFonts w:eastAsia="Segoe UI" w:hint="default"/>
          <w:i/>
          <w:szCs w:val="24"/>
          <w:rtl w:val="0"/>
          <w:lang w:val="de-DE"/>
        </w:rPr>
        <w:t>Der Zustand von Grund- und Trinkwasser: Übersichtsstudie der Qualitätsgemeinschaft Bio-Mineralwasser e.V.</w:t>
      </w:r>
      <w:r>
        <w:rPr>
          <w:rFonts w:eastAsia="Segoe UI" w:hint="default"/>
          <w:szCs w:val="24"/>
          <w:rtl w:val="0"/>
          <w:lang w:val="de-DE"/>
        </w:rPr>
        <w:t xml:space="preserve"> (Schwarzbuch Wasser 2).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Mödinger, M. (2018) </w:t>
      </w:r>
      <w:r>
        <w:rPr>
          <w:rFonts w:eastAsia="Segoe UI" w:hint="default"/>
          <w:i/>
          <w:szCs w:val="24"/>
          <w:rtl w:val="0"/>
          <w:lang w:val="de-DE"/>
        </w:rPr>
        <w:t>Leitungswasser als Getränk: Risikopotentiale der Bereitstellung und Nutzung</w:t>
      </w:r>
      <w:r>
        <w:rPr>
          <w:rFonts w:eastAsia="Segoe UI" w:hint="default"/>
          <w:szCs w:val="24"/>
          <w:rtl w:val="0"/>
          <w:lang w:val="de-DE"/>
        </w:rPr>
        <w:t>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Mödinger, M. (2020) </w:t>
      </w:r>
      <w:r>
        <w:rPr>
          <w:rFonts w:eastAsia="Segoe UI" w:hint="default"/>
          <w:i/>
          <w:szCs w:val="24"/>
          <w:rtl w:val="0"/>
          <w:lang w:val="de-DE"/>
        </w:rPr>
        <w:t>Der Zustands von Grund- und Trinkwasser: Übersichtsstudie der Qualitätsgemeinschaft Bio-Mineralwasser e.V.</w:t>
      </w:r>
      <w:r>
        <w:rPr>
          <w:rFonts w:eastAsia="Segoe UI" w:hint="default"/>
          <w:szCs w:val="24"/>
          <w:rtl w:val="0"/>
          <w:lang w:val="de-DE"/>
        </w:rPr>
        <w:t xml:space="preserve"> (Schwarzbuch Wasser 3).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Verena Kukuk (2001) </w:t>
      </w:r>
      <w:r>
        <w:rPr>
          <w:rFonts w:eastAsia="Segoe UI" w:hint="default"/>
          <w:i/>
          <w:szCs w:val="24"/>
          <w:rtl w:val="0"/>
          <w:lang w:val="de-DE"/>
        </w:rPr>
        <w:t>Studien zum Bestandeseinfluss auf die Nitratbelastung des Sickerwassers südbayerischer Modellbestände: Diplomarbeit am Lehrbereich für Waldernährung und Wasserhaushalt der Studienfakultät für Forstwissenschaft und Ressourcenmanagement Wissenschaftszentrum Weihenstephan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Wang-Erlandsson, L.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(2022) ‘A planetary boundary for green water’, </w:t>
      </w:r>
      <w:r>
        <w:rPr>
          <w:rFonts w:eastAsia="Segoe UI" w:hint="default"/>
          <w:i/>
          <w:szCs w:val="24"/>
          <w:rtl w:val="0"/>
          <w:lang w:val="de-DE"/>
        </w:rPr>
        <w:t>Nature Reviews Earth &amp; Environment</w:t>
      </w:r>
      <w:r>
        <w:rPr>
          <w:rFonts w:eastAsia="Segoe UI" w:hint="default"/>
          <w:szCs w:val="24"/>
          <w:rtl w:val="0"/>
          <w:lang w:val="de-DE"/>
        </w:rPr>
        <w:t>, 3(6), pp. 380–392. doi: 10.1038/s43017-022-00287-8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Zimmermann, L.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(2008) ‘Wasserverbrauch von Wäldern’, </w:t>
      </w:r>
      <w:r>
        <w:rPr>
          <w:rFonts w:eastAsia="Segoe UI" w:hint="default"/>
          <w:i/>
          <w:szCs w:val="24"/>
          <w:rtl w:val="0"/>
          <w:lang w:val="de-DE"/>
        </w:rPr>
        <w:t xml:space="preserve">LWF aktuell </w:t>
      </w:r>
      <w:r>
        <w:rPr>
          <w:rFonts w:eastAsia="Segoe UI" w:hint="default"/>
          <w:szCs w:val="24"/>
          <w:rtl w:val="0"/>
          <w:lang w:val="de-DE"/>
        </w:rPr>
        <w:t>(66), pp. 16–20.</w:t>
      </w:r>
    </w:p>
    <w:p>
      <w:pPr>
        <w:pStyle w:val="Heading2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CO2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https://www.lignum.ch/auf_einen_klick/news/lignum_journal_holz_news_schweiz/news_detail/neue-co2-verordnung-ermoeglicht-wald-klimaschutzprojekte/ (2022), 27 May (Accessed: 27 May 2022).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Domke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(2019) ‘Chapter 4: Forest Land’, in IPCC (ed.) </w:t>
      </w:r>
      <w:r>
        <w:rPr>
          <w:rFonts w:eastAsia="Segoe UI" w:hint="default"/>
          <w:i/>
          <w:szCs w:val="24"/>
          <w:rtl w:val="0"/>
          <w:lang w:val="de-DE"/>
        </w:rPr>
        <w:t xml:space="preserve">2019 Refinement to the 2006 IPCC Guidelines for National Greenhouse Gas Inventories. </w:t>
      </w:r>
      <w:r>
        <w:rPr>
          <w:rFonts w:eastAsia="Segoe UI" w:hint="default"/>
          <w:szCs w:val="24"/>
          <w:rtl w:val="0"/>
          <w:lang w:val="de-DE"/>
        </w:rPr>
        <w:t>(Agriculture, Forestry and Other Land Use, 4). Hayama, Japan.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IPCC (ed.) (2019) </w:t>
      </w:r>
      <w:r>
        <w:rPr>
          <w:rFonts w:eastAsia="Segoe UI" w:hint="default"/>
          <w:i/>
          <w:szCs w:val="24"/>
          <w:rtl w:val="0"/>
          <w:lang w:val="de-DE"/>
        </w:rPr>
        <w:t>2019 Refinement to the 2006 IPCC Guidelines for National Greenhouse Gas Inventories</w:t>
      </w:r>
      <w:r>
        <w:rPr>
          <w:rFonts w:eastAsia="Segoe UI" w:hint="default"/>
          <w:szCs w:val="24"/>
          <w:rtl w:val="0"/>
          <w:lang w:val="de-DE"/>
        </w:rPr>
        <w:t>. Hayama, Japan (Agriculture, Forestry and Other Land Use, 4).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Wördehoff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(2011) </w:t>
      </w:r>
      <w:r>
        <w:rPr>
          <w:rFonts w:eastAsia="Segoe UI" w:hint="default"/>
          <w:i/>
          <w:szCs w:val="24"/>
          <w:rtl w:val="0"/>
          <w:lang w:val="de-DE"/>
        </w:rPr>
        <w:t>Kohlenstoffstudie Forst und Holz Niedersachsen</w:t>
      </w:r>
      <w:r>
        <w:rPr>
          <w:rFonts w:eastAsia="Segoe UI" w:hint="default"/>
          <w:szCs w:val="24"/>
          <w:rtl w:val="0"/>
          <w:lang w:val="de-DE"/>
        </w:rPr>
        <w:t>. Göttingen (Beiträge aus der Nordwestdeutschen Forstlichen Versuchsanstalt 6).</w:t>
      </w:r>
    </w:p>
    <w:p>
      <w:pPr>
        <w:pStyle w:val="Heading2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Luft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Augustin, S. and Achermann, B. (2012) ‘Deposition von Luftschadstoffen in der Schweiz: Entwicklung, aktueller Stand und Bewertung’, </w:t>
      </w:r>
      <w:r>
        <w:rPr>
          <w:rFonts w:eastAsia="Segoe UI" w:hint="default"/>
          <w:i/>
          <w:szCs w:val="24"/>
          <w:rtl w:val="0"/>
          <w:lang w:val="de-DE"/>
        </w:rPr>
        <w:t>Schweizerische Zeitschrift fur Forstwesen</w:t>
      </w:r>
      <w:r>
        <w:rPr>
          <w:rFonts w:eastAsia="Segoe UI" w:hint="default"/>
          <w:szCs w:val="24"/>
          <w:rtl w:val="0"/>
          <w:lang w:val="de-DE"/>
        </w:rPr>
        <w:t>, 163(9), pp. 323–330. doi: 10.3188/szf.2012.0323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Meesenburg, H., Meiwes, K.J. and Rademacher, P. (1995) ‘Long term trends in atmospheric deposition and seepage output in northwest German forest ecosystems’, </w:t>
      </w:r>
      <w:r>
        <w:rPr>
          <w:rFonts w:eastAsia="Segoe UI" w:hint="default"/>
          <w:i/>
          <w:szCs w:val="24"/>
          <w:rtl w:val="0"/>
          <w:lang w:val="de-DE"/>
        </w:rPr>
        <w:t>Water, Air, &amp; Soil Pollution</w:t>
      </w:r>
      <w:r>
        <w:rPr>
          <w:rFonts w:eastAsia="Segoe UI" w:hint="default"/>
          <w:szCs w:val="24"/>
          <w:rtl w:val="0"/>
          <w:lang w:val="de-DE"/>
        </w:rPr>
        <w:t>, 85(2), pp. 611–616. doi: 10.1007/BF00476896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Rothe, A.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(2002) ‘Deposition and soil leaching in stands of Norway spruce and European Beech: Results from the Höglwald research in comparison with other European case studies’, </w:t>
      </w:r>
      <w:r>
        <w:rPr>
          <w:rFonts w:eastAsia="Segoe UI" w:hint="default"/>
          <w:i/>
          <w:szCs w:val="24"/>
          <w:rtl w:val="0"/>
          <w:lang w:val="de-DE"/>
        </w:rPr>
        <w:t>Plant and Soil</w:t>
      </w:r>
      <w:r>
        <w:rPr>
          <w:rFonts w:eastAsia="Segoe UI" w:hint="default"/>
          <w:szCs w:val="24"/>
          <w:rtl w:val="0"/>
          <w:lang w:val="de-DE"/>
        </w:rPr>
        <w:t>, 240(1), pp. 33–45. doi: 10.1023/A:1015846906956</w:t>
      </w:r>
    </w:p>
    <w:p>
      <w:pPr>
        <w:pStyle w:val="Heading1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Klima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Álvarez de Toledo, Í. (2015) </w:t>
      </w:r>
      <w:r>
        <w:rPr>
          <w:rFonts w:eastAsia="Segoe UI" w:hint="default"/>
          <w:i/>
          <w:szCs w:val="24"/>
          <w:rtl w:val="0"/>
          <w:lang w:val="de-DE"/>
        </w:rPr>
        <w:t>Regeneration von Böden und Ökosystemen: Ein Weg zur Begrenzung des Klimawandels.: Grundlagen für die erforderliche Klima- und Agrarpolitik.</w:t>
      </w:r>
      <w:r>
        <w:rPr>
          <w:rFonts w:eastAsia="Segoe UI" w:hint="default"/>
          <w:szCs w:val="24"/>
          <w:rtl w:val="0"/>
          <w:lang w:val="de-DE"/>
        </w:rPr>
        <w:t>. Available at: http://ideaa.eu/en/.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Gebhardt, Warscher and Kunstmann (2019) </w:t>
      </w:r>
      <w:r>
        <w:rPr>
          <w:rFonts w:eastAsia="Segoe UI" w:hint="default"/>
          <w:i/>
          <w:szCs w:val="24"/>
          <w:rtl w:val="0"/>
          <w:lang w:val="de-DE"/>
        </w:rPr>
        <w:t>Klimawandelstudie Landsberg am Lech: Analyse und prognostizierte Änderung des Klimas im Landkreis auf Basis von Beobachtungsdaten und hochaufgelösten regionalen Klimamodellläufen</w:t>
      </w:r>
      <w:r>
        <w:rPr>
          <w:rFonts w:eastAsia="Segoe UI" w:hint="default"/>
          <w:szCs w:val="24"/>
          <w:rtl w:val="0"/>
          <w:lang w:val="de-DE"/>
        </w:rPr>
        <w:t>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NOAA (2021) </w:t>
      </w:r>
      <w:r>
        <w:rPr>
          <w:rFonts w:eastAsia="Segoe UI" w:hint="default"/>
          <w:i/>
          <w:szCs w:val="24"/>
          <w:rtl w:val="0"/>
          <w:lang w:val="de-DE"/>
        </w:rPr>
        <w:t xml:space="preserve">Global Land and Ocean Temperature 1880-2021, </w:t>
      </w:r>
      <w:r>
        <w:rPr>
          <w:rFonts w:eastAsia="Segoe UI" w:hint="default"/>
          <w:szCs w:val="24"/>
          <w:rtl w:val="0"/>
          <w:lang w:val="de-DE"/>
        </w:rPr>
        <w:t>9 December. Available at: https://www.ncdc.noaa.gov/cag/global/time-series/globe/land_ocean/ann/10/1880-2021?trend=true&amp;trend_base=10&amp;begtrendyear=1880&amp;endtrendyear=2021 (Accessed: 9 December 2021).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Pfeifer, S., Bathiany, S. and Rechid, D. (2021) </w:t>
      </w:r>
      <w:r>
        <w:rPr>
          <w:rFonts w:eastAsia="Segoe UI" w:hint="default"/>
          <w:i/>
          <w:szCs w:val="24"/>
          <w:rtl w:val="0"/>
          <w:lang w:val="de-DE"/>
        </w:rPr>
        <w:t>Klimaausblick Landsberg am Lech</w:t>
      </w:r>
      <w:r>
        <w:rPr>
          <w:rFonts w:eastAsia="Segoe UI" w:hint="default"/>
          <w:szCs w:val="24"/>
          <w:rtl w:val="0"/>
          <w:lang w:val="de-DE"/>
        </w:rPr>
        <w:t>. Available at: https://www.gerics.de/klimaausblick-landkreise.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Rockström, J.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(2009) ‘A safe operating space for humanity’, </w:t>
      </w:r>
      <w:r>
        <w:rPr>
          <w:rFonts w:eastAsia="Segoe UI" w:hint="default"/>
          <w:i/>
          <w:szCs w:val="24"/>
          <w:rtl w:val="0"/>
          <w:lang w:val="de-DE"/>
        </w:rPr>
        <w:t>Nature</w:t>
      </w:r>
      <w:r>
        <w:rPr>
          <w:rFonts w:eastAsia="Segoe UI" w:hint="default"/>
          <w:szCs w:val="24"/>
          <w:rtl w:val="0"/>
          <w:lang w:val="de-DE"/>
        </w:rPr>
        <w:t>, 461(7263), pp. 472–475. doi: 10.1038/461472a</w:t>
      </w:r>
    </w:p>
    <w:p>
      <w:pPr>
        <w:pStyle w:val="Heading1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B1: Self Assessment Tool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Albert, C.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(2014) </w:t>
      </w:r>
      <w:r>
        <w:rPr>
          <w:rFonts w:eastAsia="Segoe UI" w:hint="default"/>
          <w:i/>
          <w:szCs w:val="24"/>
          <w:rtl w:val="0"/>
          <w:lang w:val="de-DE"/>
        </w:rPr>
        <w:t>Sondierungsstudie für ein nationales Assessment von Ökosystemen und ihren Leistungen für Wirtschaft und Gesellschaft in Deutschland: National Ecosystem Assessment, NEA-DE</w:t>
      </w:r>
      <w:r>
        <w:rPr>
          <w:rFonts w:eastAsia="Segoe UI" w:hint="default"/>
          <w:szCs w:val="24"/>
          <w:rtl w:val="0"/>
          <w:lang w:val="de-DE"/>
        </w:rPr>
        <w:t>. Leipzig: Helmholtz Zentrum für Umweltforschung UFZ.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Lee, P.-M. and Quazi, H.A. (2001) ‘A methodology for developing a self‐assessment tool to measure quality performance in organizations’, </w:t>
      </w:r>
      <w:r>
        <w:rPr>
          <w:rFonts w:eastAsia="Segoe UI" w:hint="default"/>
          <w:i/>
          <w:szCs w:val="24"/>
          <w:rtl w:val="0"/>
          <w:lang w:val="de-DE"/>
        </w:rPr>
        <w:t>International Journal of Quality &amp; Reliability Management</w:t>
      </w:r>
      <w:r>
        <w:rPr>
          <w:rFonts w:eastAsia="Segoe UI" w:hint="default"/>
          <w:szCs w:val="24"/>
          <w:rtl w:val="0"/>
          <w:lang w:val="de-DE"/>
        </w:rPr>
        <w:t>, 18(2), pp. 118–141. doi: 10.1108/02656710110379066</w:t>
      </w:r>
    </w:p>
    <w:p>
      <w:pPr>
        <w:pStyle w:val="Heading1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DebarkingHead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Baumann, D. (2020) </w:t>
      </w:r>
      <w:r>
        <w:rPr>
          <w:rFonts w:eastAsia="Segoe UI" w:hint="default"/>
          <w:i/>
          <w:szCs w:val="24"/>
          <w:rtl w:val="0"/>
          <w:lang w:val="de-DE"/>
        </w:rPr>
        <w:t>Life Cycle Assessment von Debarking Heads: Vergleich ausgewählter Umweltwirkungen der Fichtenschnittholzbereitstellung unter Verwendung verschiedener Entrindungstechnologien</w:t>
      </w:r>
      <w:r>
        <w:rPr>
          <w:rFonts w:eastAsia="Segoe UI" w:hint="default"/>
          <w:szCs w:val="24"/>
          <w:rtl w:val="0"/>
          <w:lang w:val="de-DE"/>
        </w:rPr>
        <w:t>. Bachelorarbeit am Fachbereich Holzenergie der Hochschule Weihenstephan-Triesdorf.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Gardik-Karda, S. (2020) </w:t>
      </w:r>
      <w:r>
        <w:rPr>
          <w:rFonts w:eastAsia="Segoe UI" w:hint="default"/>
          <w:i/>
          <w:szCs w:val="24"/>
          <w:rtl w:val="0"/>
          <w:lang w:val="de-DE"/>
        </w:rPr>
        <w:t>SWOT-Analyse der Logistikkette für entrindetes Holz in Deutschland: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Haftner, L. (2019) </w:t>
      </w:r>
      <w:r>
        <w:rPr>
          <w:rFonts w:eastAsia="Segoe UI" w:hint="default"/>
          <w:i/>
          <w:szCs w:val="24"/>
          <w:rtl w:val="0"/>
          <w:lang w:val="de-DE"/>
        </w:rPr>
        <w:t>Debarking Head Einsatz als Alternative zur Polterspritzung – Vergleich für den Forstbetrieb Freising: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Heppelmann, J.B.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(2019) ‘In-stand debarking with the use of modified harvesting heads: a potential solution for key challenges in European forestry’, </w:t>
      </w:r>
      <w:r>
        <w:rPr>
          <w:rFonts w:eastAsia="Segoe UI" w:hint="default"/>
          <w:i/>
          <w:szCs w:val="24"/>
          <w:rtl w:val="0"/>
          <w:lang w:val="de-DE"/>
        </w:rPr>
        <w:t>European Journal of Forest Research</w:t>
      </w:r>
      <w:r>
        <w:rPr>
          <w:rFonts w:eastAsia="Segoe UI" w:hint="default"/>
          <w:szCs w:val="24"/>
          <w:rtl w:val="0"/>
          <w:lang w:val="de-DE"/>
        </w:rPr>
        <w:t>, 138(6), pp. 1067–1081. doi: 10.1007/s10342-019-01225-y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HSWT and KWF (2018) </w:t>
      </w:r>
      <w:r>
        <w:rPr>
          <w:rFonts w:eastAsia="Segoe UI" w:hint="default"/>
          <w:i/>
          <w:szCs w:val="24"/>
          <w:rtl w:val="0"/>
          <w:lang w:val="de-DE"/>
        </w:rPr>
        <w:t>Verbundvorhaben: Nährstoffentzug bei der Holzernte minimieren durch die Nutzung von entrindenden Harvesterfällköpfen "Debarking Head"</w:t>
      </w:r>
      <w:r>
        <w:rPr>
          <w:rFonts w:eastAsia="Segoe UI" w:hint="default"/>
          <w:szCs w:val="24"/>
          <w:rtl w:val="0"/>
          <w:lang w:val="de-DE"/>
        </w:rPr>
        <w:t>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Steinacker, M. (2019) </w:t>
      </w:r>
      <w:r>
        <w:rPr>
          <w:rFonts w:eastAsia="Segoe UI" w:hint="default"/>
          <w:i/>
          <w:szCs w:val="24"/>
          <w:rtl w:val="0"/>
          <w:lang w:val="de-DE"/>
        </w:rPr>
        <w:t>Untersuchung der Zersetzungsgeschwindigkeit von Fichtenrinde aus Debarking-Head-Einsätzen (Winterversuch):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Weiß, L. (2020) </w:t>
      </w:r>
      <w:r>
        <w:rPr>
          <w:rFonts w:eastAsia="Segoe UI" w:hint="default"/>
          <w:i/>
          <w:szCs w:val="24"/>
          <w:rtl w:val="0"/>
          <w:lang w:val="de-DE"/>
        </w:rPr>
        <w:t>Untersuchungen zur Ausflugrate des Buchdruckers (Ips typographus) bei vollmechanisierter Holzernte mit entrindendem Harvesterfällkopf: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Heading2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Ernte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Galler, C. and Scharnagl, B. (2010) </w:t>
      </w:r>
      <w:r>
        <w:rPr>
          <w:rFonts w:eastAsia="Segoe UI" w:hint="default"/>
          <w:i/>
          <w:szCs w:val="24"/>
          <w:rtl w:val="0"/>
          <w:lang w:val="de-DE"/>
        </w:rPr>
        <w:t>Maschinelle Verfahrenstechniken zur Hackschnitzelbereitstellung in einer Jungbestandspflege Vf: Diplomarbeit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Heading2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Rinde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Gerthofer, M. (2020) </w:t>
      </w:r>
      <w:r>
        <w:rPr>
          <w:rFonts w:eastAsia="Segoe UI" w:hint="default"/>
          <w:i/>
          <w:szCs w:val="24"/>
          <w:rtl w:val="0"/>
          <w:lang w:val="de-DE"/>
        </w:rPr>
        <w:t>Untersuchungen zur Zersetzungsgeschwindigkeit anfallender Rinde bei der vollmechanisierten Holzernte unter Einsatz eines entrindenden Harvesterfällkopfes (Sommerversuch):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Hopfenspirger, M. (2014) </w:t>
      </w:r>
      <w:r>
        <w:rPr>
          <w:rFonts w:eastAsia="Segoe UI" w:hint="default"/>
          <w:i/>
          <w:szCs w:val="24"/>
          <w:rtl w:val="0"/>
          <w:lang w:val="de-DE"/>
        </w:rPr>
        <w:t>Analyse von biogenen Festbrennstoffen – Vergleich der Rindenanteile und Aschegehalte von Eiche und Kiefer: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Huber, C. (2018) </w:t>
      </w:r>
      <w:r>
        <w:rPr>
          <w:rFonts w:eastAsia="Segoe UI" w:hint="default"/>
          <w:i/>
          <w:szCs w:val="24"/>
          <w:rtl w:val="0"/>
          <w:lang w:val="de-DE"/>
        </w:rPr>
        <w:t>Prozessabläufe in der holzbearbeitenden Industrie hinsichtlich der Logistikkette und der Weiterverarbeitung der anfallenden Rinde: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Steinacker, M. (2019) </w:t>
      </w:r>
      <w:r>
        <w:rPr>
          <w:rFonts w:eastAsia="Segoe UI" w:hint="default"/>
          <w:i/>
          <w:szCs w:val="24"/>
          <w:rtl w:val="0"/>
          <w:lang w:val="de-DE"/>
        </w:rPr>
        <w:t>Untersuchung der Zersetzungsgeschwindigkeit von Fichtenrinde aus Debarking-Head-Einsätzen (Winterversuch):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Zimmermann, J. (2014) </w:t>
      </w:r>
      <w:r>
        <w:rPr>
          <w:rFonts w:eastAsia="Segoe UI" w:hint="default"/>
          <w:i/>
          <w:szCs w:val="24"/>
          <w:rtl w:val="0"/>
          <w:lang w:val="de-DE"/>
        </w:rPr>
        <w:t>Pappeln als Energieholz – Vergleich der Rindenanteile und Aschegehalte nach Durchmesserklassen: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Heading1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Projektberichte links4soils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Appelt, H. (2019) </w:t>
      </w:r>
      <w:r>
        <w:rPr>
          <w:rFonts w:eastAsia="Segoe UI" w:hint="default"/>
          <w:i/>
          <w:szCs w:val="24"/>
          <w:rtl w:val="0"/>
          <w:lang w:val="de-DE"/>
        </w:rPr>
        <w:t>Aufnahmen in einem plenterartig bewirtschafteten Edellaubholzbestand: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Aschwer, T.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(2013) </w:t>
      </w:r>
      <w:r>
        <w:rPr>
          <w:rFonts w:eastAsia="Segoe UI" w:hint="default"/>
          <w:i/>
          <w:szCs w:val="24"/>
          <w:rtl w:val="0"/>
          <w:lang w:val="de-DE"/>
        </w:rPr>
        <w:t>Inventur der Kurzumtriebsplantagen des Marktes Kaufering: Seminararbeit im Modul "Projektwoche Kaufering" im Fachbereich Holzenergie an der Hochschule Weihenstephan-Triesdorf</w:t>
      </w:r>
      <w:r>
        <w:rPr>
          <w:rFonts w:eastAsia="Segoe UI" w:hint="default"/>
          <w:szCs w:val="24"/>
          <w:rtl w:val="0"/>
          <w:lang w:val="de-DE"/>
        </w:rPr>
        <w:t>. Straubing.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Dusch, C. and Wünsche, J. (2018) </w:t>
      </w:r>
      <w:r>
        <w:rPr>
          <w:rFonts w:eastAsia="Segoe UI" w:hint="default"/>
          <w:i/>
          <w:szCs w:val="24"/>
          <w:rtl w:val="0"/>
          <w:lang w:val="de-DE"/>
        </w:rPr>
        <w:t>Analyse von Energiewäldern: Seminararbeit im Modul "Analyse von Energiewäldern"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Straubing.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Eichholz, F. (2019) </w:t>
      </w:r>
      <w:r>
        <w:rPr>
          <w:rFonts w:eastAsia="Segoe UI" w:hint="default"/>
          <w:i/>
          <w:szCs w:val="24"/>
          <w:rtl w:val="0"/>
          <w:lang w:val="de-DE"/>
        </w:rPr>
        <w:t>Zuwachsanalysen mit Dendrometern und Jahrringbohrungen auf Feinlehmstandorten bei Kaufering: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Klaußner, S. (2016) </w:t>
      </w:r>
      <w:r>
        <w:rPr>
          <w:rFonts w:eastAsia="Segoe UI" w:hint="default"/>
          <w:i/>
          <w:szCs w:val="24"/>
          <w:rtl w:val="0"/>
          <w:lang w:val="de-DE"/>
        </w:rPr>
        <w:t>Klimamessungen im Energiewald: Seminararbeit im Modul "Analyse von Energiewäldern" im Fachbereich Holzenergie an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Kunhardt, E. (2018) </w:t>
      </w:r>
      <w:r>
        <w:rPr>
          <w:rFonts w:eastAsia="Segoe UI" w:hint="default"/>
          <w:i/>
          <w:szCs w:val="24"/>
          <w:rtl w:val="0"/>
          <w:lang w:val="de-DE"/>
        </w:rPr>
        <w:t>Auswertung und Fortführung eines Durchforstungsversuchs in einer Kurzumtriebsplantage bei Kaufering: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Landerer, D. (2016) </w:t>
      </w:r>
      <w:r>
        <w:rPr>
          <w:rFonts w:eastAsia="Segoe UI" w:hint="default"/>
          <w:i/>
          <w:szCs w:val="24"/>
          <w:rtl w:val="0"/>
          <w:lang w:val="de-DE"/>
        </w:rPr>
        <w:t>Probefällung im Energiewald: Seminararbeit im Modul "Analyse von Energiewäldern" im Fachbereich Holzenergie an der Hochschule Weihenstephan-Triesdorf</w:t>
      </w:r>
      <w:r>
        <w:rPr>
          <w:rFonts w:eastAsia="Segoe UI" w:hint="default"/>
          <w:szCs w:val="24"/>
          <w:rtl w:val="0"/>
          <w:lang w:val="de-DE"/>
        </w:rPr>
        <w:t>. Straubing.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Landerer, D. (2017) </w:t>
      </w:r>
      <w:r>
        <w:rPr>
          <w:rFonts w:eastAsia="Segoe UI" w:hint="default"/>
          <w:i/>
          <w:szCs w:val="24"/>
          <w:rtl w:val="0"/>
          <w:lang w:val="de-DE"/>
        </w:rPr>
        <w:t>Ökosystemleistungen verschiedener Baumarten – Feldstudien im Rahmen des INTEREG Projektes Links4Soils</w:t>
      </w:r>
      <w:r>
        <w:rPr>
          <w:rFonts w:eastAsia="Segoe UI" w:hint="default"/>
          <w:szCs w:val="24"/>
          <w:rtl w:val="0"/>
          <w:lang w:val="de-DE"/>
        </w:rPr>
        <w:t>. Straubing.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Metzke, T. (2018) </w:t>
      </w:r>
      <w:r>
        <w:rPr>
          <w:rFonts w:eastAsia="Segoe UI" w:hint="default"/>
          <w:i/>
          <w:szCs w:val="24"/>
          <w:rtl w:val="0"/>
          <w:lang w:val="de-DE"/>
        </w:rPr>
        <w:t>Ertragskundliche Analyse und Anlage eines Durchforstungsversuchs im Energiewald bei Kaufering: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Müller, M. (2019) </w:t>
      </w:r>
      <w:r>
        <w:rPr>
          <w:rFonts w:eastAsia="Segoe UI" w:hint="default"/>
          <w:i/>
          <w:szCs w:val="24"/>
          <w:rtl w:val="0"/>
          <w:lang w:val="de-DE"/>
        </w:rPr>
        <w:t>Realisierbarkeit der Selbstversorgung einer zentralen Hackschnitzelheizungsanlage in der Gemeinde Scheuring: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Obermeier, F.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(2020) </w:t>
      </w:r>
      <w:r>
        <w:rPr>
          <w:rFonts w:eastAsia="Segoe UI" w:hint="default"/>
          <w:i/>
          <w:szCs w:val="24"/>
          <w:rtl w:val="0"/>
          <w:lang w:val="de-DE"/>
        </w:rPr>
        <w:t>Projektbericht Analyse von Energiewäldern: Projektarbeit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Straubing.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Riesenegger, L. and Dötsch, F. (2019) </w:t>
      </w:r>
      <w:r>
        <w:rPr>
          <w:rFonts w:eastAsia="Segoe UI" w:hint="default"/>
          <w:i/>
          <w:szCs w:val="24"/>
          <w:rtl w:val="0"/>
          <w:lang w:val="de-DE"/>
        </w:rPr>
        <w:t>Projektbericht "Analyse Energiewälder": Projektarbeit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Straubing.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Sammet, L., Weiß, N. and Heisler, A. (2019) </w:t>
      </w:r>
      <w:r>
        <w:rPr>
          <w:rFonts w:eastAsia="Segoe UI" w:hint="default"/>
          <w:i/>
          <w:szCs w:val="24"/>
          <w:rtl w:val="0"/>
          <w:lang w:val="de-DE"/>
        </w:rPr>
        <w:t>Projektbericht "Analyse von Energiewäldern mit Bezug zum Vogelbestand": Projektarbeit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Straubing.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Schmitt, S.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(2017) </w:t>
      </w:r>
      <w:r>
        <w:rPr>
          <w:rFonts w:eastAsia="Segoe UI" w:hint="default"/>
          <w:i/>
          <w:szCs w:val="24"/>
          <w:rtl w:val="0"/>
          <w:lang w:val="de-DE"/>
        </w:rPr>
        <w:t>Analyse von Energiewäldern: Seminararbeit im Modul "Analyse von Energiewäldern"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Straubing.</w:t>
      </w:r>
    </w:p>
    <w:p>
      <w:pPr>
        <w:pStyle w:val="Heading1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Gesetzliche Grundlagen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Depenheuer, O. and Möhring, B. (2010) </w:t>
      </w:r>
      <w:r>
        <w:rPr>
          <w:rFonts w:eastAsia="Segoe UI" w:hint="default"/>
          <w:i/>
          <w:szCs w:val="24"/>
          <w:rtl w:val="0"/>
          <w:lang w:val="de-DE"/>
        </w:rPr>
        <w:t>Waldeigentum</w:t>
      </w:r>
      <w:r>
        <w:rPr>
          <w:rFonts w:eastAsia="Segoe UI" w:hint="default"/>
          <w:szCs w:val="24"/>
          <w:rtl w:val="0"/>
          <w:lang w:val="de-DE"/>
        </w:rPr>
        <w:t>. (8). Berlin, Heidelberg: Springer Berlin Heidelberg.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Mutzel, T. (2013) </w:t>
      </w:r>
      <w:r>
        <w:rPr>
          <w:rFonts w:eastAsia="Segoe UI" w:hint="default"/>
          <w:i/>
          <w:szCs w:val="24"/>
          <w:rtl w:val="0"/>
          <w:lang w:val="de-DE"/>
        </w:rPr>
        <w:t>Analyse der gesetzlichen Fördermechanismen ausgewählter Länder zur Stromgewinnung aus fester Biomasse: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Scheidler, A. (2019) ‘Das bauplanungsrechtliche Ökokonto und seine Abgrenzung zum naturschutzrechtlichen Ökokonto’, </w:t>
      </w:r>
      <w:r>
        <w:rPr>
          <w:rFonts w:eastAsia="Segoe UI" w:hint="default"/>
          <w:i/>
          <w:szCs w:val="24"/>
          <w:rtl w:val="0"/>
          <w:lang w:val="de-DE"/>
        </w:rPr>
        <w:t>Natur und Recht</w:t>
      </w:r>
      <w:r>
        <w:rPr>
          <w:rFonts w:eastAsia="Segoe UI" w:hint="default"/>
          <w:szCs w:val="24"/>
          <w:rtl w:val="0"/>
          <w:lang w:val="de-DE"/>
        </w:rPr>
        <w:t>, 41(5), pp. 297–300. doi: 10.1007/s10357-019-3516-5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Wolters, S., Schaller, S. and Götz, M. (2018) </w:t>
      </w:r>
      <w:r>
        <w:rPr>
          <w:rFonts w:eastAsia="Segoe UI" w:hint="default"/>
          <w:i/>
          <w:szCs w:val="24"/>
          <w:rtl w:val="0"/>
          <w:lang w:val="de-DE"/>
        </w:rPr>
        <w:t>Freiwillige CO2-Kompensationen durch Klimaschutzprojekte</w:t>
      </w:r>
      <w:r>
        <w:rPr>
          <w:rFonts w:eastAsia="Segoe UI" w:hint="default"/>
          <w:szCs w:val="24"/>
          <w:rtl w:val="0"/>
          <w:lang w:val="de-DE"/>
        </w:rPr>
        <w:t>. Berlin.</w:t>
      </w:r>
    </w:p>
    <w:p>
      <w:pPr>
        <w:pStyle w:val="Heading1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Feinwurzeln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Ahrens, B.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(2014) ‘Reconcilable differences: a joint calibration of fine-root turnover times with radiocarbon and minirhizotrons’, </w:t>
      </w:r>
      <w:r>
        <w:rPr>
          <w:rFonts w:eastAsia="Segoe UI" w:hint="default"/>
          <w:i/>
          <w:szCs w:val="24"/>
          <w:rtl w:val="0"/>
          <w:lang w:val="de-DE"/>
        </w:rPr>
        <w:t>The New Phytologist</w:t>
      </w:r>
      <w:r>
        <w:rPr>
          <w:rFonts w:eastAsia="Segoe UI" w:hint="default"/>
          <w:szCs w:val="24"/>
          <w:rtl w:val="0"/>
          <w:lang w:val="de-DE"/>
        </w:rPr>
        <w:t>, 204(4), pp. 932–942. doi: 10.1111/nph.12979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Behrendt, D. (2018) </w:t>
      </w:r>
      <w:r>
        <w:rPr>
          <w:rFonts w:eastAsia="Segoe UI" w:hint="default"/>
          <w:i/>
          <w:szCs w:val="24"/>
          <w:rtl w:val="0"/>
          <w:lang w:val="de-DE"/>
        </w:rPr>
        <w:t>Vergleich der Feinwurzelmasse unter Fichte und Spitzahorn auf Lechauenlehm: Bachelorarbeit am Fachbereich Forstliche Bodenkunde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Meibom, A., Frei, R. and Sleep, N.H. (2004) ‘Osmium isotopic compositions of Os-rich platinum group element alloys from the Klamath and Siskiyou Mountains’, </w:t>
      </w:r>
      <w:r>
        <w:rPr>
          <w:rFonts w:eastAsia="Segoe UI" w:hint="default"/>
          <w:i/>
          <w:szCs w:val="24"/>
          <w:rtl w:val="0"/>
          <w:lang w:val="de-DE"/>
        </w:rPr>
        <w:t>Journal of Geophysical Research: Solid Earth</w:t>
      </w:r>
      <w:r>
        <w:rPr>
          <w:rFonts w:eastAsia="Segoe UI" w:hint="default"/>
          <w:szCs w:val="24"/>
          <w:rtl w:val="0"/>
          <w:lang w:val="de-DE"/>
        </w:rPr>
        <w:t>, 109(B2) (4pp). doi: 10.1029/2003JB002602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Polomski, J. and Kuhn, N. (2001) ‘Wurzelhabitus und Standfestigkeit der Waldbäume’, </w:t>
      </w:r>
      <w:r>
        <w:rPr>
          <w:rFonts w:eastAsia="Segoe UI" w:hint="default"/>
          <w:i/>
          <w:szCs w:val="24"/>
          <w:rtl w:val="0"/>
          <w:lang w:val="de-DE"/>
        </w:rPr>
        <w:t>Forstwissenschaftliches Centralblatt vereinigt mit Tharandter forstliches Jahrbuch</w:t>
      </w:r>
      <w:r>
        <w:rPr>
          <w:rFonts w:eastAsia="Segoe UI" w:hint="default"/>
          <w:szCs w:val="24"/>
          <w:rtl w:val="0"/>
          <w:lang w:val="de-DE"/>
        </w:rPr>
        <w:t>, 120(1-6), pp. 303–317. doi: 10.1007/BF02796102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Projektwoche März 2021 (2021) </w:t>
      </w:r>
      <w:r>
        <w:rPr>
          <w:rFonts w:eastAsia="Segoe UI" w:hint="default"/>
          <w:i/>
          <w:szCs w:val="24"/>
          <w:rtl w:val="0"/>
          <w:lang w:val="de-DE"/>
        </w:rPr>
        <w:t>Ergebnisse Feinwurzeltrockenmasse Scheuring Hainbuche Linde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Solly, E.F.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(2018) ‘Unravelling the age of fine roots of temperate and boreal forests’, </w:t>
      </w:r>
      <w:r>
        <w:rPr>
          <w:rFonts w:eastAsia="Segoe UI" w:hint="default"/>
          <w:i/>
          <w:szCs w:val="24"/>
          <w:rtl w:val="0"/>
          <w:lang w:val="de-DE"/>
        </w:rPr>
        <w:t>Nature Communications</w:t>
      </w:r>
      <w:r>
        <w:rPr>
          <w:rFonts w:eastAsia="Segoe UI" w:hint="default"/>
          <w:szCs w:val="24"/>
          <w:rtl w:val="0"/>
          <w:lang w:val="de-DE"/>
        </w:rPr>
        <w:t>, 9(1), p. 3006. doi: 10.1038/s41467-018-05460-6</w:t>
      </w:r>
    </w:p>
    <w:p>
      <w:pPr>
        <w:pStyle w:val="Heading1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Regenwürmer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Behrendt, D. (2018) </w:t>
      </w:r>
      <w:r>
        <w:rPr>
          <w:rFonts w:eastAsia="Segoe UI" w:hint="default"/>
          <w:i/>
          <w:szCs w:val="24"/>
          <w:rtl w:val="0"/>
          <w:lang w:val="de-DE"/>
        </w:rPr>
        <w:t>Vergleich der Feinwurzelmasse unter Fichte und Spitzahorn auf Lechauenlehm: Bachelorarbeit am Fachbereich Forstliche Bodenkunde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Celine Pelosi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(2009) ‘Earthworm collection from agricultural fields: Comparisons of selected expellants in presence/absence of hand-sorting’, </w:t>
      </w:r>
      <w:r>
        <w:rPr>
          <w:rFonts w:eastAsia="Segoe UI" w:hint="default"/>
          <w:i/>
          <w:szCs w:val="24"/>
          <w:rtl w:val="0"/>
          <w:lang w:val="de-DE"/>
        </w:rPr>
        <w:t>European Journal of Soil Biology</w:t>
      </w:r>
      <w:r>
        <w:rPr>
          <w:rFonts w:eastAsia="Segoe UI" w:hint="default"/>
          <w:szCs w:val="24"/>
          <w:rtl w:val="0"/>
          <w:lang w:val="de-DE"/>
        </w:rPr>
        <w:t>, 45, pp. 176–183. doi: 10.1016/j.ejsobi.2008.09.013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Kropf, M. (no date) </w:t>
      </w:r>
      <w:r>
        <w:rPr>
          <w:rFonts w:eastAsia="Segoe UI" w:hint="default"/>
          <w:i/>
          <w:szCs w:val="24"/>
          <w:rtl w:val="0"/>
          <w:lang w:val="de-DE"/>
        </w:rPr>
        <w:t>Biomasseleistung und Bodenveränderung bei verschiedenen Baumarten auf ehemaligen Fichtenflächen: Bachelorarbeit an der Fakultät Wald und Forstwirtschaft der Hochschule Weihenstephan-Triesdorf</w:t>
      </w:r>
      <w:r>
        <w:rPr>
          <w:rFonts w:eastAsia="Segoe UI" w:hint="default"/>
          <w:szCs w:val="24"/>
          <w:rtl w:val="0"/>
          <w:lang w:val="de-DE"/>
        </w:rPr>
        <w:t>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Landerer, D. (2017) </w:t>
      </w:r>
      <w:r>
        <w:rPr>
          <w:rFonts w:eastAsia="Segoe UI" w:hint="default"/>
          <w:i/>
          <w:szCs w:val="24"/>
          <w:rtl w:val="0"/>
          <w:lang w:val="de-DE"/>
        </w:rPr>
        <w:t>Ökosystemleistungen verschiedener Baumarten: Feldstudien im Rahmen des INTEREG Projektes Links4Soils</w:t>
      </w:r>
      <w:r>
        <w:rPr>
          <w:rFonts w:eastAsia="Segoe UI" w:hint="default"/>
          <w:szCs w:val="24"/>
          <w:rtl w:val="0"/>
          <w:lang w:val="de-DE"/>
        </w:rPr>
        <w:t>. Masterarbeit am Fachbereich Holzenergie der Hochschule Weihenstephan-Triesdorf.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Schmidt-Tesch, J. (2019) </w:t>
      </w:r>
      <w:r>
        <w:rPr>
          <w:rFonts w:eastAsia="Segoe UI" w:hint="default"/>
          <w:i/>
          <w:szCs w:val="24"/>
          <w:rtl w:val="0"/>
          <w:lang w:val="de-DE"/>
        </w:rPr>
        <w:t>Ökosystemleistungen von Bergahorn, Weißtanne und Fichte auf tiefgründigem Lösslehm: Bachelorarbeit an der Fakultät Wald und Forstwirtschaft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Heading1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Biomasseleistung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Kropf, M. (2016) </w:t>
      </w:r>
      <w:r>
        <w:rPr>
          <w:rFonts w:eastAsia="Segoe UI" w:hint="default"/>
          <w:i/>
          <w:szCs w:val="24"/>
          <w:rtl w:val="0"/>
          <w:lang w:val="de-DE"/>
        </w:rPr>
        <w:t>Biomasseleistung und Bodenveränderung bei verschiedenen Baumarten auf ehemaligen Fichtenflächen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Heading1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Steckbriefe Bäume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Bayerische Landesanstalt für Wald und Forstwirtschaft (ed.) (2006) </w:t>
      </w:r>
      <w:r>
        <w:rPr>
          <w:rFonts w:eastAsia="Segoe UI" w:hint="default"/>
          <w:i/>
          <w:szCs w:val="24"/>
          <w:rtl w:val="0"/>
          <w:lang w:val="de-DE"/>
        </w:rPr>
        <w:t>Beiträge zur Schwarzpappel</w:t>
      </w:r>
      <w:r>
        <w:rPr>
          <w:rFonts w:eastAsia="Segoe UI" w:hint="default"/>
          <w:szCs w:val="24"/>
          <w:rtl w:val="0"/>
          <w:lang w:val="de-DE"/>
        </w:rPr>
        <w:t>. Freising (LWF Wissen, 52).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Dietz, P. (1975) ‘Dichte und Rindengehalt von Industrieholz’, </w:t>
      </w:r>
      <w:r>
        <w:rPr>
          <w:rFonts w:eastAsia="Segoe UI" w:hint="default"/>
          <w:i/>
          <w:szCs w:val="24"/>
          <w:rtl w:val="0"/>
          <w:lang w:val="de-DE"/>
        </w:rPr>
        <w:t>Holz als Roh- und Werkstoff</w:t>
      </w:r>
      <w:r>
        <w:rPr>
          <w:rFonts w:eastAsia="Segoe UI" w:hint="default"/>
          <w:szCs w:val="24"/>
          <w:rtl w:val="0"/>
          <w:lang w:val="de-DE"/>
        </w:rPr>
        <w:t>, 33(4), pp. 135–141. doi: 10.1007/BF02611237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Grosser, D. (2006) ‘Das Holz der Pappeln - Eigenschaften und Verwendung: LWF Wissen 52’, in Bayerische Landesanstalt für Wald und Forstwirtschaft (ed.) </w:t>
      </w:r>
      <w:r>
        <w:rPr>
          <w:rFonts w:eastAsia="Segoe UI" w:hint="default"/>
          <w:i/>
          <w:szCs w:val="24"/>
          <w:rtl w:val="0"/>
          <w:lang w:val="de-DE"/>
        </w:rPr>
        <w:t xml:space="preserve">Beiträge zur Schwarzpappel. </w:t>
      </w:r>
      <w:r>
        <w:rPr>
          <w:rFonts w:eastAsia="Segoe UI" w:hint="default"/>
          <w:szCs w:val="24"/>
          <w:rtl w:val="0"/>
          <w:lang w:val="de-DE"/>
        </w:rPr>
        <w:t>(LWF Wissen, 52). Freising, pp. 56–62.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Kremer, B.P. (2021) </w:t>
      </w:r>
      <w:r>
        <w:rPr>
          <w:rFonts w:eastAsia="Segoe UI" w:hint="default"/>
          <w:i/>
          <w:szCs w:val="24"/>
          <w:rtl w:val="0"/>
          <w:lang w:val="de-DE"/>
        </w:rPr>
        <w:t>Geniale Pflanzen</w:t>
      </w:r>
      <w:r>
        <w:rPr>
          <w:rFonts w:eastAsia="Segoe UI" w:hint="default"/>
          <w:szCs w:val="24"/>
          <w:rtl w:val="0"/>
          <w:lang w:val="de-DE"/>
        </w:rPr>
        <w:t>. Berlin, Heidelberg: Springer Berlin Heidelberg.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Schmid, M., Röder, M. and Wagner, J. (2021) </w:t>
      </w:r>
      <w:r>
        <w:rPr>
          <w:rFonts w:eastAsia="Segoe UI" w:hint="default"/>
          <w:i/>
          <w:szCs w:val="24"/>
          <w:rtl w:val="0"/>
          <w:lang w:val="de-DE"/>
        </w:rPr>
        <w:t>Anlage von Paulownia-Versuchsflächen: Projektarbeit im Modul Produktion von Energiepflanzen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Zweifel, R.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(2021) ‘Why trees grow at night’, </w:t>
      </w:r>
      <w:r>
        <w:rPr>
          <w:rFonts w:eastAsia="Segoe UI" w:hint="default"/>
          <w:i/>
          <w:szCs w:val="24"/>
          <w:rtl w:val="0"/>
          <w:lang w:val="de-DE"/>
        </w:rPr>
        <w:t>The New Phytologist</w:t>
      </w:r>
      <w:r>
        <w:rPr>
          <w:rFonts w:eastAsia="Segoe UI" w:hint="default"/>
          <w:szCs w:val="24"/>
          <w:rtl w:val="0"/>
          <w:lang w:val="de-DE"/>
        </w:rPr>
        <w:t>, 231(6), pp. 2174–2185. doi: 10.1111/nph.17552</w:t>
      </w:r>
    </w:p>
    <w:p>
      <w:pPr>
        <w:pStyle w:val="Heading1"/>
        <w:widowControl/>
        <w:spacing w:line="240" w:lineRule="auto"/>
        <w:ind w:right="0"/>
        <w:jc w:val="left"/>
        <w:rPr>
          <w:rFonts w:eastAsia="Segoe UI" w:hint="default"/>
          <w:i w:val="0"/>
          <w:szCs w:val="24"/>
          <w:rtl w:val="0"/>
          <w:lang w:val="de-DE"/>
        </w:rPr>
      </w:pPr>
      <w:r>
        <w:rPr>
          <w:rFonts w:eastAsia="Segoe UI" w:hint="default"/>
          <w:i w:val="0"/>
          <w:szCs w:val="24"/>
          <w:rtl w:val="0"/>
          <w:lang w:val="de-DE"/>
        </w:rPr>
        <w:t>weiterführende Literatur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Amann, S. (2017) </w:t>
      </w:r>
      <w:r>
        <w:rPr>
          <w:rFonts w:eastAsia="Segoe UI" w:hint="default"/>
          <w:i/>
          <w:szCs w:val="24"/>
          <w:rtl w:val="0"/>
          <w:lang w:val="de-DE"/>
        </w:rPr>
        <w:t>Untersuchung der Wuchsleistung von zwölf Pappelsorten: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Bohn, L. and Gründl, A. (2016) </w:t>
      </w:r>
      <w:r>
        <w:rPr>
          <w:rFonts w:eastAsia="Segoe UI" w:hint="default"/>
          <w:i/>
          <w:szCs w:val="24"/>
          <w:rtl w:val="0"/>
          <w:lang w:val="de-DE"/>
        </w:rPr>
        <w:t>Raumdichtemessungen an Pappel-Stammhölzern aus den Kurzumtriebsplantagen der Firma Viessmann: Seminararbeit im Modul "Bewirtschaftung von Kurzumtriebsplantagen" im Fachbereich Holzenergie an der Hochschule Weihenstephan-Triesdorf</w:t>
      </w:r>
      <w:r>
        <w:rPr>
          <w:rFonts w:eastAsia="Segoe UI" w:hint="default"/>
          <w:szCs w:val="24"/>
          <w:rtl w:val="0"/>
          <w:lang w:val="de-DE"/>
        </w:rPr>
        <w:t>. Straubing.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Bruckmeier, A. (2010) </w:t>
      </w:r>
      <w:r>
        <w:rPr>
          <w:rFonts w:eastAsia="Segoe UI" w:hint="default"/>
          <w:i/>
          <w:szCs w:val="24"/>
          <w:rtl w:val="0"/>
          <w:lang w:val="de-DE"/>
        </w:rPr>
        <w:t>Agroforst-Versuchsfläche Dürneck - Bestandsaufnahme nach der zweiten Vegetationsperiode: Diplomarbeit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Büttner, M. (2013) </w:t>
      </w:r>
      <w:r>
        <w:rPr>
          <w:rFonts w:eastAsia="Segoe UI" w:hint="default"/>
          <w:i/>
          <w:szCs w:val="24"/>
          <w:rtl w:val="0"/>
          <w:lang w:val="de-DE"/>
        </w:rPr>
        <w:t>Analyse des Zuwachsverlaufes einer Kurzumtriebsplantage: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ClimatePartner GmbH (2021) </w:t>
      </w:r>
      <w:r>
        <w:rPr>
          <w:rFonts w:eastAsia="Segoe UI" w:hint="default"/>
          <w:i/>
          <w:szCs w:val="24"/>
          <w:rtl w:val="0"/>
          <w:lang w:val="de-DE"/>
        </w:rPr>
        <w:t>Klimawald MUC: Projektbeschreibung</w:t>
      </w:r>
      <w:r>
        <w:rPr>
          <w:rFonts w:eastAsia="Segoe UI" w:hint="default"/>
          <w:szCs w:val="24"/>
          <w:rtl w:val="0"/>
          <w:lang w:val="de-DE"/>
        </w:rPr>
        <w:t>. München.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Doty, S.L.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(2016) ‘Variable Nitrogen Fixation in Wild Populus’, </w:t>
      </w:r>
      <w:r>
        <w:rPr>
          <w:rFonts w:eastAsia="Segoe UI" w:hint="default"/>
          <w:i/>
          <w:szCs w:val="24"/>
          <w:rtl w:val="0"/>
          <w:lang w:val="de-DE"/>
        </w:rPr>
        <w:t>PloS One</w:t>
      </w:r>
      <w:r>
        <w:rPr>
          <w:rFonts w:eastAsia="Segoe UI" w:hint="default"/>
          <w:szCs w:val="24"/>
          <w:rtl w:val="0"/>
          <w:lang w:val="de-DE"/>
        </w:rPr>
        <w:t>, 11(5), e0155979. doi: 10.1371/journal.pone.0155979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Engelhardt, F. (2019) </w:t>
      </w:r>
      <w:r>
        <w:rPr>
          <w:rFonts w:eastAsia="Segoe UI" w:hint="default"/>
          <w:i/>
          <w:szCs w:val="24"/>
          <w:rtl w:val="0"/>
          <w:lang w:val="de-DE"/>
        </w:rPr>
        <w:t>Biomasseleistung einer Pappelkurzumtriebsplantage und Überprüfung eines vereinfachten Stichprobenverfahrens für eine vierjährige Pappelkultur im zweiten Umtrieb: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Gerth, L. (2010) </w:t>
      </w:r>
      <w:r>
        <w:rPr>
          <w:rFonts w:eastAsia="Segoe UI" w:hint="default"/>
          <w:i/>
          <w:szCs w:val="24"/>
          <w:rtl w:val="0"/>
          <w:lang w:val="de-DE"/>
        </w:rPr>
        <w:t>Dritte Ernte eines Energiewaldes mit schnellwachsenden Baumarten – Untersuchungen an der Kurzumtriebsfläche Schwarzenau der Bayerischen Landesanstalt für Wald und Forstwirtschaft (LWF): Diplomarbeit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Gritschneder, A. (2020) </w:t>
      </w:r>
      <w:r>
        <w:rPr>
          <w:rFonts w:eastAsia="Segoe UI" w:hint="default"/>
          <w:i/>
          <w:szCs w:val="24"/>
          <w:rtl w:val="0"/>
          <w:lang w:val="de-DE"/>
        </w:rPr>
        <w:t>Auswertung einer Wiederholungsinventur auf einer Versuchsfläche mit zwölf Pappelsorten im zweiten Umtrieb: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Hauk, S. (2010) </w:t>
      </w:r>
      <w:r>
        <w:rPr>
          <w:rFonts w:eastAsia="Segoe UI" w:hint="default"/>
          <w:i/>
          <w:szCs w:val="24"/>
          <w:rtl w:val="0"/>
          <w:lang w:val="de-DE"/>
        </w:rPr>
        <w:t>Wuchsleistung verschiedener Balsampappelhybride im zweiten Umtrieb: Diplomarbeit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Hellpoldt, J. (2018) </w:t>
      </w:r>
      <w:r>
        <w:rPr>
          <w:rFonts w:eastAsia="Segoe UI" w:hint="default"/>
          <w:i/>
          <w:szCs w:val="24"/>
          <w:rtl w:val="0"/>
          <w:lang w:val="de-DE"/>
        </w:rPr>
        <w:t>Biomasseleistung einer Pappelkurzumtriebsplantage und Entwicklung eines Stichprobeverfahrens für eine dreijährige Pappelkultur im zweiten Umtrieb: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Holzäpfel, M. (2013) </w:t>
      </w:r>
      <w:r>
        <w:rPr>
          <w:rFonts w:eastAsia="Segoe UI" w:hint="default"/>
          <w:i/>
          <w:szCs w:val="24"/>
          <w:rtl w:val="0"/>
          <w:lang w:val="de-DE"/>
        </w:rPr>
        <w:t>Einflussfaktoren und Vergleich unterschiedlicher Biomasseleistungen auf verschiedenen Teilflächen einer Pappelkurzumtriebsplantage in der ersten Vegetationsperiode: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Jonczyk, J. (2014) </w:t>
      </w:r>
      <w:r>
        <w:rPr>
          <w:rFonts w:eastAsia="Segoe UI" w:hint="default"/>
          <w:i/>
          <w:szCs w:val="24"/>
          <w:rtl w:val="0"/>
          <w:lang w:val="de-DE"/>
        </w:rPr>
        <w:t>Analyse der kleinklimatischen Auswirkungen einer Kurzumtriebsplantage -Auswertung von Temperaturmessungen an ein- bis vierjährigen Pappelflächen im Ampermoos: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Klein, T. (2011) </w:t>
      </w:r>
      <w:r>
        <w:rPr>
          <w:rFonts w:eastAsia="Segoe UI" w:hint="default"/>
          <w:i/>
          <w:szCs w:val="24"/>
          <w:rtl w:val="0"/>
          <w:lang w:val="de-DE"/>
        </w:rPr>
        <w:t>Biomasseleistung und Faktoren für den Wuchserfolg einer Pappelkurzumtriebsplantage in der ersten Vegetationsperiode: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Kollmann, F. (1951) </w:t>
      </w:r>
      <w:r>
        <w:rPr>
          <w:rFonts w:eastAsia="Segoe UI" w:hint="default"/>
          <w:i/>
          <w:szCs w:val="24"/>
          <w:rtl w:val="0"/>
          <w:lang w:val="de-DE"/>
        </w:rPr>
        <w:t>Technologie des Holzes und der Holzwerkstoffe: Bd. 1:Anatomie und Pathologie, Chemie, Physik Elastizität und Festigkeit</w:t>
      </w:r>
      <w:r>
        <w:rPr>
          <w:rFonts w:eastAsia="Segoe UI" w:hint="default"/>
          <w:szCs w:val="24"/>
          <w:rtl w:val="0"/>
          <w:lang w:val="de-DE"/>
        </w:rPr>
        <w:t>. Berlin, Heidelberg: Springer Berlin Heidelberg.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Lipp, F. (2014) </w:t>
      </w:r>
      <w:r>
        <w:rPr>
          <w:rFonts w:eastAsia="Segoe UI" w:hint="default"/>
          <w:i/>
          <w:szCs w:val="24"/>
          <w:rtl w:val="0"/>
          <w:lang w:val="de-DE"/>
        </w:rPr>
        <w:t>Aufstellung eines alternativen naturnahen Nutzungskonzeptes für Retentionsflächen an der Donau-„Niederauenwald“: Bachelorarbeit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Löbhard, R. (2022) ‘So steht es um den Wald von Kaufering’, </w:t>
      </w:r>
      <w:r>
        <w:rPr>
          <w:rFonts w:eastAsia="Segoe UI" w:hint="default"/>
          <w:i/>
          <w:szCs w:val="24"/>
          <w:rtl w:val="0"/>
          <w:lang w:val="de-DE"/>
        </w:rPr>
        <w:t xml:space="preserve">Landsberger Tagblatt, </w:t>
      </w:r>
      <w:r>
        <w:rPr>
          <w:rFonts w:eastAsia="Segoe UI" w:hint="default"/>
          <w:szCs w:val="24"/>
          <w:rtl w:val="0"/>
          <w:lang w:val="de-DE"/>
        </w:rPr>
        <w:t>3 June.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Pretzsch, H. (2019) </w:t>
      </w:r>
      <w:r>
        <w:rPr>
          <w:rFonts w:eastAsia="Segoe UI" w:hint="default"/>
          <w:i/>
          <w:szCs w:val="24"/>
          <w:rtl w:val="0"/>
          <w:lang w:val="de-DE"/>
        </w:rPr>
        <w:t>Grundlagen der Waldwachstumsforschung</w:t>
      </w:r>
      <w:r>
        <w:rPr>
          <w:rFonts w:eastAsia="Segoe UI" w:hint="default"/>
          <w:szCs w:val="24"/>
          <w:rtl w:val="0"/>
          <w:lang w:val="de-DE"/>
        </w:rPr>
        <w:t>. Berlin, Heidelberg: Springer Berlin Heidelberg.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Schmid, A. (2010) </w:t>
      </w:r>
      <w:r>
        <w:rPr>
          <w:rFonts w:eastAsia="Segoe UI" w:hint="default"/>
          <w:i/>
          <w:szCs w:val="24"/>
          <w:rtl w:val="0"/>
          <w:lang w:val="de-DE"/>
        </w:rPr>
        <w:t>Ertragssteigerung im Wirtschaftswald - Einbringung von schnellwachsenden Baumarten bei Bestandsbegründung: Diplomarbeit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Schmidmeier, F., Zeiler, J. and Rost, F. (2014) </w:t>
      </w:r>
      <w:r>
        <w:rPr>
          <w:rFonts w:eastAsia="Segoe UI" w:hint="default"/>
          <w:i/>
          <w:szCs w:val="24"/>
          <w:rtl w:val="0"/>
          <w:lang w:val="de-DE"/>
        </w:rPr>
        <w:t>Anlage einer Anschuungsfläche Energiewald am Heizkraftwerk Weihenstephan und Auswertung des Anwuchses verschiedener Pappelklone: Projektarbeit am Fachbereich Holzenergie der Hochschule Weihenstephan-Triesdorf</w:t>
      </w:r>
      <w:r>
        <w:rPr>
          <w:rFonts w:eastAsia="Segoe UI" w:hint="default"/>
          <w:szCs w:val="24"/>
          <w:rtl w:val="0"/>
          <w:lang w:val="de-DE"/>
        </w:rPr>
        <w:t>. Freising.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Schmitt, S. (2018) </w:t>
      </w:r>
      <w:r>
        <w:rPr>
          <w:rFonts w:eastAsia="Segoe UI" w:hint="default"/>
          <w:i/>
          <w:szCs w:val="24"/>
          <w:rtl w:val="0"/>
          <w:lang w:val="de-DE"/>
        </w:rPr>
        <w:t>Erntetechnik von Kurzumtriebsplantagen: Seminararbeit im Modul "Bewirtschaftung von Kurzumtriebsplantagen" im Fachbereich Holzenergie an der Hochschule Weihenstephan-Triesdorf</w:t>
      </w:r>
      <w:r>
        <w:rPr>
          <w:rFonts w:eastAsia="Segoe UI" w:hint="default"/>
          <w:szCs w:val="24"/>
          <w:rtl w:val="0"/>
          <w:lang w:val="de-DE"/>
        </w:rPr>
        <w:t>. Straubing.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Schopfer, P. and Brennicke, A. (2010) </w:t>
      </w:r>
      <w:r>
        <w:rPr>
          <w:rFonts w:eastAsia="Segoe UI" w:hint="default"/>
          <w:i/>
          <w:szCs w:val="24"/>
          <w:rtl w:val="0"/>
          <w:lang w:val="de-DE"/>
        </w:rPr>
        <w:t>Pflanzenphysiologie</w:t>
      </w:r>
      <w:r>
        <w:rPr>
          <w:rFonts w:eastAsia="Segoe UI" w:hint="default"/>
          <w:szCs w:val="24"/>
          <w:rtl w:val="0"/>
          <w:lang w:val="de-DE"/>
        </w:rPr>
        <w:t>. 7th edn. Heidelberg: Spektrum Akad. Verl.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>Schwarz, A.</w:t>
      </w:r>
      <w:r>
        <w:rPr>
          <w:rFonts w:eastAsia="Segoe UI" w:hint="default"/>
          <w:i/>
          <w:szCs w:val="24"/>
          <w:rtl w:val="0"/>
          <w:lang w:val="de-DE"/>
        </w:rPr>
        <w:t xml:space="preserve"> et al.</w:t>
      </w:r>
      <w:r>
        <w:rPr>
          <w:rFonts w:eastAsia="Segoe UI" w:hint="default"/>
          <w:szCs w:val="24"/>
          <w:rtl w:val="0"/>
          <w:lang w:val="de-DE"/>
        </w:rPr>
        <w:t xml:space="preserve"> (2018) </w:t>
      </w:r>
      <w:r>
        <w:rPr>
          <w:rFonts w:eastAsia="Segoe UI" w:hint="default"/>
          <w:i/>
          <w:szCs w:val="24"/>
          <w:rtl w:val="0"/>
          <w:lang w:val="de-DE"/>
        </w:rPr>
        <w:t>Analyse von Biomassefunktionen, Vorrat und Zuwachs von Kurzumtriebsplantagen – Ergebnisse der Projektwoche 2018: Seminararbeit im Modul "Bewirtschaftung von Kurzumtriebsplantagen" im Fachbereich Holzenergie an der Hochschule Weihenstephan-Triesdorf</w:t>
      </w:r>
      <w:r>
        <w:rPr>
          <w:rFonts w:eastAsia="Segoe UI" w:hint="default"/>
          <w:szCs w:val="24"/>
          <w:rtl w:val="0"/>
          <w:lang w:val="de-DE"/>
        </w:rPr>
        <w:t>. Straubing.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  <w:r>
        <w:rPr>
          <w:rFonts w:eastAsia="Segoe UI" w:hint="default"/>
          <w:szCs w:val="24"/>
          <w:rtl w:val="0"/>
          <w:lang w:val="de-DE"/>
        </w:rPr>
        <w:t xml:space="preserve">Seggewiß, T., Wiesbeck, M. and Michl, J. (2016) </w:t>
      </w:r>
      <w:r>
        <w:rPr>
          <w:rFonts w:eastAsia="Segoe UI" w:hint="default"/>
          <w:i/>
          <w:szCs w:val="24"/>
          <w:rtl w:val="0"/>
          <w:lang w:val="de-DE"/>
        </w:rPr>
        <w:t>Zeitstudie und Wirtschaftlichkeitsberechnung unterschiedlicher Ernteverfahren: Seminararbeit im Modul "Bewirtschaftung von Kurzumtriebsplantagen" im Fachbereich Holzenergie an der Hochschule Weihenstephan-Triesdorf</w:t>
      </w:r>
      <w:r>
        <w:rPr>
          <w:rFonts w:eastAsia="Segoe UI" w:hint="default"/>
          <w:szCs w:val="24"/>
          <w:rtl w:val="0"/>
          <w:lang w:val="de-DE"/>
        </w:rPr>
        <w:t>. Straubing.</w:t>
      </w:r>
    </w:p>
    <w:p>
      <w:pPr>
        <w:pStyle w:val="CitaviLiteraturverzeichnis"/>
        <w:widowControl/>
        <w:spacing w:before="0" w:line="240" w:lineRule="auto"/>
        <w:ind w:left="0" w:right="0" w:firstLine="0"/>
        <w:jc w:val="left"/>
        <w:rPr>
          <w:rFonts w:eastAsia="Segoe UI" w:hint="default"/>
          <w:szCs w:val="24"/>
          <w:rtl w:val="0"/>
          <w:lang w:val="de-DE"/>
        </w:rPr>
      </w:pPr>
    </w:p>
    <w:sectPr>
      <w:type w:val="nextPage"/>
      <w:pgSz w:w="11906" w:h="16838"/>
      <w:pgMar w:top="567" w:right="567" w:bottom="567" w:left="1134" w:header="850" w:footer="850"/>
      <w:pgNumType w:fmt="decimal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charset w:val="01"/>
    <w:family w:val="auto"/>
    <w:pitch w:val="default"/>
    <w:sig w:usb0="00000000" w:usb1="00000000" w:usb2="00000000" w:usb3="00000000" w:csb0="00000001" w:csb1="00000000"/>
  </w:font>
  <w:font w:name="Symbol">
    <w:charset w:val="01"/>
    <w:family w:val="auto"/>
    <w:pitch w:val="default"/>
    <w:sig w:usb0="00000000" w:usb1="00000000" w:usb2="00000000" w:usb3="00000000" w:csb0="00000000" w:csb1="00000000"/>
  </w:font>
  <w:font w:name="Wingdings">
    <w:charset w:val="01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DefaultParagraphFont"/>
      <w:lvlText w:val="%1."/>
      <w:lvlJc w:val="left"/>
    </w:lvl>
    <w:lvl w:ilvl="1">
      <w:start w:val="1"/>
      <w:numFmt w:val="decimal"/>
      <w:pStyle w:val="Heading1"/>
      <w:lvlText w:val="%1.%2."/>
      <w:lvlJc w:val="left"/>
    </w:lvl>
    <w:lvl w:ilvl="2">
      <w:start w:val="1"/>
      <w:numFmt w:val="decimal"/>
      <w:pStyle w:val="Heading2"/>
      <w:lvlText w:val="%1.%2.%3."/>
      <w:lvlJc w:val="left"/>
    </w:lvl>
    <w:lvl w:ilvl="3">
      <w:start w:val="1"/>
      <w:numFmt w:val="decimal"/>
      <w:pStyle w:val="Heading3"/>
      <w:lvlText w:val="%1.%2.%3.%4."/>
      <w:lvlJc w:val="left"/>
    </w:lvl>
    <w:lvl w:ilvl="4">
      <w:start w:val="1"/>
      <w:numFmt w:val="decimal"/>
      <w:pStyle w:val="Heading4"/>
      <w:lvlText w:val="%1.%2.%3.%4.%5."/>
      <w:lvlJc w:val="left"/>
    </w:lvl>
    <w:lvl w:ilvl="5">
      <w:start w:val="1"/>
      <w:numFmt w:val="decimal"/>
      <w:pStyle w:val="Heading5"/>
      <w:lvlText w:val="%1.%2.%3.%4.%5.%6."/>
      <w:lvlJc w:val="left"/>
    </w:lvl>
    <w:lvl w:ilvl="6">
      <w:start w:val="1"/>
      <w:numFmt w:val="decimal"/>
      <w:pStyle w:val="Heading6"/>
      <w:lvlText w:val="%1.%2.%3.%4.%5.%6.%7."/>
      <w:lvlJc w:val="left"/>
    </w:lvl>
    <w:lvl w:ilvl="7">
      <w:start w:val="1"/>
      <w:numFmt w:val="decimal"/>
      <w:pStyle w:val="Heading7"/>
      <w:lvlText w:val="%1.%2.%3.%4.%5.%6.%7.%8."/>
      <w:lvlJc w:val="left"/>
    </w:lvl>
    <w:lvl w:ilvl="8">
      <w:start w:val="1"/>
      <w:numFmt w:val="decimal"/>
      <w:pStyle w:val="Heading8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compressPunctuation"/>
  <w:compat>
    <w:spaceForUL/>
    <w:balanceSingleByteDoubleByteWidth/>
    <w:doNotLeaveBackslashAlon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0" w:right="0" w:firstLine="0"/>
    </w:pPr>
    <w:rPr>
      <w:rFonts w:ascii="Segoe UI" w:hAnsi="Segoe UI" w:cs="Segoe UI"/>
      <w:sz w:val="18"/>
    </w:rPr>
  </w:style>
  <w:style w:type="paragraph" w:styleId="Heading1">
    <w:name w:val="heading 1"/>
    <w:next w:val="Normal"/>
    <w:uiPriority w:val="99"/>
    <w:pPr>
      <w:keepNext/>
      <w:keepLines/>
      <w:widowControl w:val="0"/>
      <w:numPr>
        <w:ilvl w:val="0"/>
        <w:numId w:val="1"/>
      </w:numPr>
      <w:tabs>
        <w:tab w:val="left" w:pos="850"/>
      </w:tabs>
      <w:autoSpaceDE w:val="0"/>
      <w:autoSpaceDN w:val="0"/>
      <w:bidi w:val="0"/>
      <w:adjustRightInd w:val="0"/>
      <w:spacing w:before="1440" w:after="720" w:line="0" w:lineRule="atLeast"/>
      <w:ind w:left="850" w:right="0" w:hanging="850"/>
      <w:outlineLvl w:val="0"/>
    </w:pPr>
    <w:rPr>
      <w:rFonts w:ascii="Segoe UI" w:hAnsi="Segoe UI" w:cs="Segoe UI"/>
      <w:b/>
      <w:i w:val="0"/>
      <w:sz w:val="30"/>
    </w:rPr>
  </w:style>
  <w:style w:type="paragraph" w:styleId="Heading2">
    <w:name w:val="heading 2"/>
    <w:next w:val="Normal"/>
    <w:uiPriority w:val="99"/>
    <w:pPr>
      <w:keepNext/>
      <w:keepLines/>
      <w:widowControl w:val="0"/>
      <w:numPr>
        <w:ilvl w:val="1"/>
        <w:numId w:val="1"/>
      </w:numPr>
      <w:tabs>
        <w:tab w:val="left" w:pos="850"/>
      </w:tabs>
      <w:autoSpaceDE w:val="0"/>
      <w:autoSpaceDN w:val="0"/>
      <w:bidi w:val="0"/>
      <w:adjustRightInd w:val="0"/>
      <w:spacing w:before="720" w:after="480" w:line="0" w:lineRule="atLeast"/>
      <w:ind w:left="850" w:right="0" w:hanging="850"/>
      <w:outlineLvl w:val="1"/>
    </w:pPr>
    <w:rPr>
      <w:rFonts w:ascii="Segoe UI" w:hAnsi="Segoe UI" w:cs="Segoe UI"/>
      <w:b/>
      <w:i w:val="0"/>
      <w:sz w:val="24"/>
    </w:rPr>
  </w:style>
  <w:style w:type="paragraph" w:styleId="Heading3">
    <w:name w:val="heading 3"/>
    <w:next w:val="Normal"/>
    <w:uiPriority w:val="99"/>
    <w:pPr>
      <w:keepNext/>
      <w:keepLines/>
      <w:widowControl w:val="0"/>
      <w:numPr>
        <w:ilvl w:val="2"/>
        <w:numId w:val="1"/>
      </w:numPr>
      <w:tabs>
        <w:tab w:val="left" w:pos="850"/>
      </w:tabs>
      <w:autoSpaceDE w:val="0"/>
      <w:autoSpaceDN w:val="0"/>
      <w:bidi w:val="0"/>
      <w:adjustRightInd w:val="0"/>
      <w:spacing w:before="480" w:after="120" w:line="0" w:lineRule="atLeast"/>
      <w:ind w:left="850" w:right="0" w:hanging="850"/>
      <w:outlineLvl w:val="2"/>
    </w:pPr>
    <w:rPr>
      <w:rFonts w:ascii="Segoe UI" w:hAnsi="Segoe UI" w:cs="Segoe UI"/>
      <w:b/>
      <w:i/>
      <w:sz w:val="20"/>
    </w:rPr>
  </w:style>
  <w:style w:type="paragraph" w:styleId="Heading4">
    <w:name w:val="heading 4"/>
    <w:next w:val="Normal"/>
    <w:uiPriority w:val="99"/>
    <w:pPr>
      <w:keepNext/>
      <w:keepLines/>
      <w:widowControl w:val="0"/>
      <w:numPr>
        <w:ilvl w:val="3"/>
        <w:numId w:val="1"/>
      </w:numPr>
      <w:tabs>
        <w:tab w:val="left" w:pos="850"/>
      </w:tabs>
      <w:autoSpaceDE w:val="0"/>
      <w:autoSpaceDN w:val="0"/>
      <w:bidi w:val="0"/>
      <w:adjustRightInd w:val="0"/>
      <w:spacing w:before="480" w:after="0" w:line="0" w:lineRule="atLeast"/>
      <w:ind w:left="850" w:right="0" w:hanging="850"/>
      <w:outlineLvl w:val="3"/>
    </w:pPr>
    <w:rPr>
      <w:rFonts w:ascii="Segoe UI" w:hAnsi="Segoe UI" w:cs="Segoe UI"/>
      <w:b w:val="0"/>
      <w:i/>
      <w:sz w:val="20"/>
    </w:rPr>
  </w:style>
  <w:style w:type="paragraph" w:styleId="Heading5">
    <w:name w:val="heading 5"/>
    <w:next w:val="Normal"/>
    <w:uiPriority w:val="99"/>
    <w:pPr>
      <w:keepNext/>
      <w:keepLines/>
      <w:widowControl w:val="0"/>
      <w:numPr>
        <w:ilvl w:val="4"/>
        <w:numId w:val="1"/>
      </w:numPr>
      <w:tabs>
        <w:tab w:val="left" w:pos="850"/>
      </w:tabs>
      <w:autoSpaceDE w:val="0"/>
      <w:autoSpaceDN w:val="0"/>
      <w:bidi w:val="0"/>
      <w:adjustRightInd w:val="0"/>
      <w:spacing w:before="480" w:after="0" w:line="0" w:lineRule="atLeast"/>
      <w:ind w:left="850" w:right="0" w:hanging="850"/>
      <w:outlineLvl w:val="4"/>
    </w:pPr>
    <w:rPr>
      <w:rFonts w:ascii="Segoe UI" w:hAnsi="Segoe UI" w:cs="Segoe UI"/>
      <w:b w:val="0"/>
      <w:i/>
      <w:sz w:val="20"/>
    </w:rPr>
  </w:style>
  <w:style w:type="paragraph" w:styleId="Heading6">
    <w:name w:val="heading 6"/>
    <w:next w:val="Normal"/>
    <w:uiPriority w:val="99"/>
    <w:pPr>
      <w:keepNext/>
      <w:keepLines/>
      <w:widowControl w:val="0"/>
      <w:numPr>
        <w:ilvl w:val="5"/>
        <w:numId w:val="1"/>
      </w:numPr>
      <w:tabs>
        <w:tab w:val="left" w:pos="850"/>
      </w:tabs>
      <w:autoSpaceDE w:val="0"/>
      <w:autoSpaceDN w:val="0"/>
      <w:bidi w:val="0"/>
      <w:adjustRightInd w:val="0"/>
      <w:spacing w:before="480" w:after="0" w:line="0" w:lineRule="atLeast"/>
      <w:ind w:left="850" w:right="0" w:hanging="850"/>
      <w:outlineLvl w:val="5"/>
    </w:pPr>
    <w:rPr>
      <w:rFonts w:ascii="Segoe UI" w:hAnsi="Segoe UI" w:cs="Segoe UI"/>
      <w:b w:val="0"/>
      <w:i/>
      <w:sz w:val="20"/>
    </w:rPr>
  </w:style>
  <w:style w:type="paragraph" w:styleId="Heading7">
    <w:name w:val="heading 7"/>
    <w:next w:val="Normal"/>
    <w:uiPriority w:val="99"/>
    <w:pPr>
      <w:keepNext/>
      <w:keepLines/>
      <w:widowControl w:val="0"/>
      <w:numPr>
        <w:ilvl w:val="6"/>
        <w:numId w:val="1"/>
      </w:numPr>
      <w:tabs>
        <w:tab w:val="left" w:pos="850"/>
      </w:tabs>
      <w:autoSpaceDE w:val="0"/>
      <w:autoSpaceDN w:val="0"/>
      <w:bidi w:val="0"/>
      <w:adjustRightInd w:val="0"/>
      <w:spacing w:before="480" w:after="0" w:line="0" w:lineRule="atLeast"/>
      <w:ind w:left="850" w:right="0" w:hanging="850"/>
      <w:outlineLvl w:val="6"/>
    </w:pPr>
    <w:rPr>
      <w:rFonts w:ascii="Segoe UI" w:hAnsi="Segoe UI" w:cs="Segoe UI"/>
      <w:b w:val="0"/>
      <w:i/>
      <w:sz w:val="20"/>
    </w:rPr>
  </w:style>
  <w:style w:type="paragraph" w:styleId="Heading8">
    <w:name w:val="heading 8"/>
    <w:next w:val="Normal"/>
    <w:uiPriority w:val="99"/>
    <w:pPr>
      <w:keepNext/>
      <w:keepLines/>
      <w:widowControl w:val="0"/>
      <w:numPr>
        <w:ilvl w:val="7"/>
        <w:numId w:val="1"/>
      </w:numPr>
      <w:tabs>
        <w:tab w:val="left" w:pos="850"/>
      </w:tabs>
      <w:autoSpaceDE w:val="0"/>
      <w:autoSpaceDN w:val="0"/>
      <w:bidi w:val="0"/>
      <w:adjustRightInd w:val="0"/>
      <w:spacing w:before="480" w:after="0" w:line="0" w:lineRule="atLeast"/>
      <w:ind w:left="850" w:right="0" w:hanging="850"/>
      <w:outlineLvl w:val="7"/>
    </w:pPr>
    <w:rPr>
      <w:rFonts w:ascii="Segoe UI" w:hAnsi="Segoe UI" w:cs="Segoe UI"/>
      <w:b w:val="0"/>
      <w:i/>
      <w:sz w:val="20"/>
    </w:rPr>
  </w:style>
  <w:style w:type="paragraph" w:styleId="Heading9">
    <w:name w:val="heading 9"/>
    <w:next w:val="Normal"/>
    <w:uiPriority w:val="99"/>
    <w:pPr>
      <w:keepNext/>
      <w:keepLines/>
      <w:widowControl w:val="0"/>
      <w:numPr>
        <w:ilvl w:val="8"/>
        <w:numId w:val="1"/>
      </w:numPr>
      <w:tabs>
        <w:tab w:val="left" w:pos="850"/>
      </w:tabs>
      <w:autoSpaceDE w:val="0"/>
      <w:autoSpaceDN w:val="0"/>
      <w:bidi w:val="0"/>
      <w:adjustRightInd w:val="0"/>
      <w:spacing w:before="480" w:after="0" w:line="0" w:lineRule="atLeast"/>
      <w:ind w:left="850" w:right="0" w:hanging="850"/>
      <w:outlineLvl w:val="8"/>
    </w:pPr>
    <w:rPr>
      <w:rFonts w:ascii="Segoe UI" w:hAnsi="Segoe UI" w:cs="Segoe UI"/>
      <w:b w:val="0"/>
      <w:i/>
      <w:sz w:val="20"/>
    </w:rPr>
  </w:style>
  <w:style w:type="character" w:default="1" w:styleId="DefaultParagraphFont">
    <w:name w:val="Default Paragraph Font"/>
    <w:uiPriority w:val="99"/>
  </w:style>
  <w:style w:type="paragraph" w:styleId="Subtitle">
    <w:name w:val="Subtitle"/>
    <w:uiPriority w:val="99"/>
    <w:pPr>
      <w:keepNext/>
      <w:keepLines/>
      <w:widowControl w:val="0"/>
      <w:autoSpaceDE w:val="0"/>
      <w:autoSpaceDN w:val="0"/>
      <w:bidi w:val="0"/>
      <w:adjustRightInd w:val="0"/>
      <w:spacing w:before="480" w:after="0" w:line="0" w:lineRule="atLeast"/>
      <w:ind w:left="0" w:right="0" w:firstLine="0"/>
      <w:outlineLvl w:val="9"/>
    </w:pPr>
    <w:rPr>
      <w:rFonts w:ascii="Segoe UI" w:hAnsi="Segoe UI" w:cs="Segoe UI"/>
      <w:b w:val="0"/>
      <w:i w:val="0"/>
      <w:color w:val="15428B"/>
      <w:sz w:val="20"/>
    </w:rPr>
  </w:style>
  <w:style w:type="paragraph" w:styleId="Title">
    <w:name w:val="Title"/>
    <w:uiPriority w:val="99"/>
    <w:pPr>
      <w:keepNext/>
      <w:keepLines/>
      <w:widowControl w:val="0"/>
      <w:autoSpaceDE w:val="0"/>
      <w:autoSpaceDN w:val="0"/>
      <w:bidi w:val="0"/>
      <w:adjustRightInd w:val="0"/>
      <w:spacing w:before="720" w:after="240" w:line="0" w:lineRule="atLeast"/>
      <w:ind w:left="0" w:right="0" w:firstLine="0"/>
      <w:outlineLvl w:val="9"/>
    </w:pPr>
    <w:rPr>
      <w:rFonts w:ascii="Segoe UI" w:hAnsi="Segoe UI" w:cs="Segoe UI"/>
      <w:b/>
      <w:i w:val="0"/>
      <w:color w:val="000000"/>
      <w:sz w:val="20"/>
    </w:rPr>
  </w:style>
  <w:style w:type="paragraph" w:styleId="FootnoteText">
    <w:name w:val="footnote text"/>
    <w:uiPriority w:val="99"/>
    <w:pPr>
      <w:widowControl w:val="0"/>
      <w:autoSpaceDE w:val="0"/>
      <w:autoSpaceDN w:val="0"/>
      <w:bidi w:val="0"/>
      <w:adjustRightInd w:val="0"/>
      <w:spacing w:before="0" w:after="0" w:line="0" w:lineRule="atLeast"/>
      <w:ind w:left="227" w:right="0" w:hanging="227"/>
    </w:pPr>
    <w:rPr>
      <w:rFonts w:ascii="Segoe UI" w:hAnsi="Segoe UI" w:cs="Segoe UI"/>
      <w:sz w:val="16"/>
    </w:rPr>
  </w:style>
  <w:style w:type="paragraph" w:styleId="TOC1">
    <w:name w:val="toc 1"/>
    <w:next w:val="Normal"/>
    <w:uiPriority w:val="99"/>
    <w:pPr>
      <w:keepNext/>
      <w:keepLines/>
      <w:widowControl w:val="0"/>
      <w:autoSpaceDE w:val="0"/>
      <w:autoSpaceDN w:val="0"/>
      <w:bidi w:val="0"/>
      <w:adjustRightInd w:val="0"/>
      <w:spacing w:before="720" w:after="120" w:line="0" w:lineRule="atLeast"/>
      <w:ind w:left="567" w:right="0" w:hanging="567"/>
    </w:pPr>
    <w:rPr>
      <w:rFonts w:ascii="Segoe UI" w:hAnsi="Segoe UI" w:cs="Segoe UI"/>
      <w:b/>
      <w:sz w:val="18"/>
    </w:rPr>
  </w:style>
  <w:style w:type="paragraph" w:styleId="TOC2">
    <w:name w:val="toc 2"/>
    <w:next w:val="Normal"/>
    <w:uiPriority w:val="99"/>
    <w:pPr>
      <w:widowControl w:val="0"/>
      <w:autoSpaceDE w:val="0"/>
      <w:autoSpaceDN w:val="0"/>
      <w:bidi w:val="0"/>
      <w:adjustRightInd w:val="0"/>
      <w:spacing w:before="120" w:after="120" w:line="0" w:lineRule="atLeast"/>
      <w:ind w:left="1134" w:right="0" w:hanging="567"/>
    </w:pPr>
    <w:rPr>
      <w:rFonts w:ascii="Segoe UI" w:hAnsi="Segoe UI" w:cs="Segoe UI"/>
      <w:i/>
      <w:sz w:val="18"/>
    </w:rPr>
  </w:style>
  <w:style w:type="paragraph" w:styleId="TOC3">
    <w:name w:val="toc 3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1701" w:right="0" w:hanging="567"/>
    </w:pPr>
    <w:rPr>
      <w:rFonts w:ascii="Segoe UI" w:hAnsi="Segoe UI" w:cs="Segoe UI"/>
      <w:sz w:val="18"/>
    </w:rPr>
  </w:style>
  <w:style w:type="paragraph" w:styleId="TOC4">
    <w:name w:val="toc 4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720" w:right="0" w:firstLine="0"/>
    </w:pPr>
    <w:rPr>
      <w:rFonts w:ascii="Segoe UI" w:hAnsi="Segoe UI" w:cs="Segoe UI"/>
      <w:sz w:val="18"/>
    </w:rPr>
  </w:style>
  <w:style w:type="paragraph" w:styleId="TOC5">
    <w:name w:val="toc 5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960" w:right="0" w:firstLine="0"/>
    </w:pPr>
    <w:rPr>
      <w:rFonts w:ascii="Segoe UI" w:hAnsi="Segoe UI" w:cs="Segoe UI"/>
      <w:sz w:val="18"/>
    </w:rPr>
  </w:style>
  <w:style w:type="paragraph" w:styleId="TOC6">
    <w:name w:val="toc 6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1200" w:right="0" w:firstLine="0"/>
    </w:pPr>
    <w:rPr>
      <w:rFonts w:ascii="Segoe UI" w:hAnsi="Segoe UI" w:cs="Segoe UI"/>
      <w:sz w:val="18"/>
    </w:rPr>
  </w:style>
  <w:style w:type="paragraph" w:styleId="TOC7">
    <w:name w:val="toc 7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1440" w:right="0" w:firstLine="0"/>
    </w:pPr>
    <w:rPr>
      <w:rFonts w:ascii="Segoe UI" w:hAnsi="Segoe UI" w:cs="Segoe UI"/>
      <w:sz w:val="18"/>
    </w:rPr>
  </w:style>
  <w:style w:type="paragraph" w:styleId="TOC8">
    <w:name w:val="toc 8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1680" w:right="0" w:firstLine="0"/>
    </w:pPr>
    <w:rPr>
      <w:rFonts w:ascii="Segoe UI" w:hAnsi="Segoe UI" w:cs="Segoe UI"/>
      <w:sz w:val="18"/>
    </w:rPr>
  </w:style>
  <w:style w:type="paragraph" w:styleId="TOC9">
    <w:name w:val="toc 9"/>
    <w:next w:val="Normal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1920" w:right="0" w:firstLine="0"/>
    </w:pPr>
    <w:rPr>
      <w:rFonts w:ascii="Segoe UI" w:hAnsi="Segoe UI" w:cs="Segoe UI"/>
      <w:sz w:val="18"/>
    </w:rPr>
  </w:style>
  <w:style w:type="paragraph" w:customStyle="1" w:styleId="CitaviLiteraturverzeichnis">
    <w:name w:val="Citavi Literaturverzeichnis"/>
    <w:uiPriority w:val="99"/>
    <w:pPr>
      <w:widowControl w:val="0"/>
      <w:autoSpaceDE w:val="0"/>
      <w:autoSpaceDN w:val="0"/>
      <w:bidi w:val="0"/>
      <w:adjustRightInd w:val="0"/>
      <w:spacing w:before="0" w:after="120" w:line="0" w:lineRule="atLeast"/>
      <w:ind w:left="0" w:right="0" w:firstLine="0"/>
    </w:pPr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